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4BF3F" w14:textId="43A01A23" w:rsidR="00C0056B" w:rsidRDefault="00C0056B">
      <w:pPr>
        <w:spacing w:after="120" w:line="240" w:lineRule="auto"/>
        <w:jc w:val="both"/>
        <w:rPr>
          <w:rFonts w:ascii="Times New Roman" w:eastAsia="Times New Roman" w:hAnsi="Times New Roman" w:cs="Times New Roman"/>
          <w:b/>
          <w:sz w:val="26"/>
          <w:szCs w:val="26"/>
        </w:rPr>
      </w:pPr>
      <w:r w:rsidRPr="00C0056B">
        <w:rPr>
          <w:rFonts w:ascii="Times New Roman" w:eastAsia="Times New Roman" w:hAnsi="Times New Roman" w:cs="Times New Roman"/>
          <w:b/>
          <w:bCs/>
          <w:sz w:val="26"/>
          <w:szCs w:val="26"/>
        </w:rPr>
        <w:t>PENEGAKAN PERATURAN DAERAH OLEH SATUAN POLISI PAMONG PRAJA</w:t>
      </w:r>
    </w:p>
    <w:p w14:paraId="6142E363" w14:textId="51DABEE1" w:rsidR="00C0056B" w:rsidRPr="00C0056B" w:rsidRDefault="00C0056B">
      <w:pPr>
        <w:spacing w:after="12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Pr="00C0056B">
        <w:rPr>
          <w:rFonts w:ascii="Times New Roman" w:eastAsia="Times New Roman" w:hAnsi="Times New Roman" w:cs="Times New Roman"/>
          <w:bCs/>
          <w:sz w:val="24"/>
          <w:szCs w:val="24"/>
        </w:rPr>
        <w:t>Analisis Hukum Administrasi dalam Ketertiban Umum</w:t>
      </w:r>
      <w:r>
        <w:rPr>
          <w:rFonts w:ascii="Times New Roman" w:eastAsia="Times New Roman" w:hAnsi="Times New Roman" w:cs="Times New Roman"/>
          <w:bCs/>
          <w:sz w:val="24"/>
          <w:szCs w:val="24"/>
        </w:rPr>
        <w:t>)</w:t>
      </w:r>
    </w:p>
    <w:p w14:paraId="699249D4" w14:textId="09BACFEE" w:rsidR="00B80FAF" w:rsidRDefault="00C0056B">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Martha Hartona, Eka Deviani, Satria Prayoga</w:t>
      </w:r>
    </w:p>
    <w:p w14:paraId="2088075F" w14:textId="78D05787" w:rsidR="00C0056B" w:rsidRPr="00C0056B" w:rsidRDefault="00760126">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Fakultas Hukum, </w:t>
      </w:r>
      <w:r w:rsidR="00C0056B">
        <w:rPr>
          <w:rFonts w:ascii="Times New Roman" w:eastAsia="Times New Roman" w:hAnsi="Times New Roman" w:cs="Times New Roman"/>
          <w:iCs/>
          <w:sz w:val="24"/>
          <w:szCs w:val="24"/>
        </w:rPr>
        <w:t>Universitas Lampung</w:t>
      </w:r>
    </w:p>
    <w:p w14:paraId="780CB265" w14:textId="38D822AE" w:rsidR="00B80FAF" w:rsidRDefault="004E2E35" w:rsidP="004B07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m</w:t>
      </w:r>
      <w:r w:rsidR="004B07B5">
        <w:rPr>
          <w:rFonts w:ascii="Times New Roman" w:eastAsia="Times New Roman" w:hAnsi="Times New Roman" w:cs="Times New Roman"/>
          <w:i/>
          <w:sz w:val="24"/>
          <w:szCs w:val="24"/>
        </w:rPr>
        <w:t>arthahartona@gmail.com; ekadevian1@gmail.com; DrSatriaPrayoga@fh.unila.ac.id</w:t>
      </w:r>
    </w:p>
    <w:p w14:paraId="1A24C926" w14:textId="77777777" w:rsidR="00B80FAF" w:rsidRDefault="00B80FAF">
      <w:pPr>
        <w:spacing w:after="0" w:line="240" w:lineRule="auto"/>
        <w:jc w:val="both"/>
        <w:rPr>
          <w:rFonts w:ascii="Times New Roman" w:eastAsia="Times New Roman" w:hAnsi="Times New Roman" w:cs="Times New Roman"/>
          <w:sz w:val="24"/>
          <w:szCs w:val="24"/>
        </w:rPr>
      </w:pPr>
    </w:p>
    <w:p w14:paraId="65068E95" w14:textId="1F4F6C8C" w:rsidR="004D690F" w:rsidRPr="00760126" w:rsidRDefault="00760126" w:rsidP="004D690F">
      <w:pPr>
        <w:spacing w:after="12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ABSTRAK</w:t>
      </w:r>
    </w:p>
    <w:p w14:paraId="511E1648" w14:textId="33F6D1EC" w:rsidR="00C0056B" w:rsidRDefault="00C0056B" w:rsidP="004D690F">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K</w:t>
      </w:r>
      <w:r w:rsidRPr="00C0056B">
        <w:rPr>
          <w:rFonts w:ascii="Times New Roman" w:eastAsia="Times New Roman" w:hAnsi="Times New Roman" w:cs="Times New Roman"/>
          <w:iCs/>
          <w:sz w:val="24"/>
          <w:szCs w:val="24"/>
        </w:rPr>
        <w:t>ewenangan Satuan Polisi Pamong Praja dalam penegakan peraturan daerah sebagai bagian dari hukum administrasi dan penyelenggaraan ketertiban umum. Permasalahan utama yang dikaji berkaitan dengan pelaksanaan kewenangan tersebut dalam praktik serta faktor-faktor yang memengaruhi efektivitas penegakan hukum administrasi. Penelitian ini bertujuan untuk menganalisis kesesuaian antara kewenangan normatif yang diatur dalam peraturan perundang-undangan dengan implementasinya oleh aparatur pemerintah daerah.</w:t>
      </w:r>
    </w:p>
    <w:p w14:paraId="6446BAC7" w14:textId="1EE016A4" w:rsidR="00C0056B" w:rsidRDefault="00C0056B" w:rsidP="004D690F">
      <w:pPr>
        <w:spacing w:after="0" w:line="240" w:lineRule="auto"/>
        <w:jc w:val="both"/>
        <w:rPr>
          <w:rFonts w:ascii="Times New Roman" w:eastAsia="Times New Roman" w:hAnsi="Times New Roman" w:cs="Times New Roman"/>
          <w:iCs/>
          <w:sz w:val="24"/>
          <w:szCs w:val="24"/>
        </w:rPr>
      </w:pPr>
      <w:r w:rsidRPr="00C0056B">
        <w:rPr>
          <w:rFonts w:ascii="Times New Roman" w:eastAsia="Times New Roman" w:hAnsi="Times New Roman" w:cs="Times New Roman"/>
          <w:iCs/>
          <w:sz w:val="24"/>
          <w:szCs w:val="24"/>
        </w:rPr>
        <w:t xml:space="preserve">Metode yang digunakan adalah pendekatan yuridis normatif dan yuridis empiris. Pendekatan normatif digunakan untuk mengkaji pengaturan kewenangan dan fungsi Satuan Polisi Pamong Praja, sedangkan pendekatan empiris digunakan untuk memahami praktik penegakan peraturan daerah dan respons masyarakat. </w:t>
      </w:r>
    </w:p>
    <w:p w14:paraId="75D224DC" w14:textId="261A9159" w:rsidR="004D690F" w:rsidRPr="00C0056B" w:rsidRDefault="00C0056B" w:rsidP="004D690F">
      <w:pPr>
        <w:spacing w:after="0" w:line="240" w:lineRule="auto"/>
        <w:jc w:val="both"/>
        <w:rPr>
          <w:rFonts w:ascii="Times New Roman" w:eastAsia="Times New Roman" w:hAnsi="Times New Roman" w:cs="Times New Roman"/>
          <w:iCs/>
          <w:sz w:val="24"/>
          <w:szCs w:val="24"/>
        </w:rPr>
      </w:pPr>
      <w:r w:rsidRPr="00C0056B">
        <w:rPr>
          <w:rFonts w:ascii="Times New Roman" w:eastAsia="Times New Roman" w:hAnsi="Times New Roman" w:cs="Times New Roman"/>
          <w:iCs/>
          <w:sz w:val="24"/>
          <w:szCs w:val="24"/>
        </w:rPr>
        <w:t>Hasil penelitian menunjukkan bahwa kewenangan Satuan Polisi Pamong Praja telah dirumuskan secara jelas dan bersifat atributif, meliputi pengawasan, pembinaan, penertiban, serta penindakan administratif non-yustisial. Pelaksanaan penegakan hukum lebih dominan menggunakan pendekatan preventif dan persuasif. Efektivitas penegakan dipengaruhi oleh kapasitas aparatur, sarana operasional, koordinasi antarinstansi, serta tingkat kesadaran hukum masyarakat.</w:t>
      </w:r>
    </w:p>
    <w:p w14:paraId="6394D238" w14:textId="77777777" w:rsidR="00C0056B" w:rsidRPr="004D690F" w:rsidRDefault="00C0056B" w:rsidP="004D690F">
      <w:pPr>
        <w:spacing w:after="0" w:line="240" w:lineRule="auto"/>
        <w:jc w:val="both"/>
        <w:rPr>
          <w:rFonts w:ascii="Times New Roman" w:eastAsia="Times New Roman" w:hAnsi="Times New Roman" w:cs="Times New Roman"/>
          <w:iCs/>
          <w:sz w:val="24"/>
          <w:szCs w:val="24"/>
          <w:lang w:val="en-ID"/>
        </w:rPr>
      </w:pPr>
    </w:p>
    <w:p w14:paraId="63339734" w14:textId="56B750F0" w:rsidR="00B80FAF" w:rsidRPr="004B07B5" w:rsidRDefault="004D690F">
      <w:pPr>
        <w:spacing w:after="0" w:line="240" w:lineRule="auto"/>
        <w:jc w:val="both"/>
        <w:rPr>
          <w:rFonts w:ascii="Times New Roman" w:eastAsia="Times New Roman" w:hAnsi="Times New Roman" w:cs="Times New Roman"/>
          <w:iCs/>
          <w:sz w:val="24"/>
          <w:szCs w:val="24"/>
          <w:lang w:val="en-ID"/>
        </w:rPr>
      </w:pPr>
      <w:r w:rsidRPr="004D690F">
        <w:rPr>
          <w:rFonts w:ascii="Times New Roman" w:eastAsia="Times New Roman" w:hAnsi="Times New Roman" w:cs="Times New Roman"/>
          <w:b/>
          <w:bCs/>
          <w:iCs/>
          <w:sz w:val="24"/>
          <w:szCs w:val="24"/>
          <w:lang w:val="en-ID"/>
        </w:rPr>
        <w:t>Kata kunci:</w:t>
      </w:r>
      <w:r w:rsidRPr="004D690F">
        <w:rPr>
          <w:rFonts w:ascii="Times New Roman" w:eastAsia="Times New Roman" w:hAnsi="Times New Roman" w:cs="Times New Roman"/>
          <w:iCs/>
          <w:sz w:val="24"/>
          <w:szCs w:val="24"/>
          <w:lang w:val="en-ID"/>
        </w:rPr>
        <w:t xml:space="preserve"> </w:t>
      </w:r>
      <w:r w:rsidR="00C0056B" w:rsidRPr="00C0056B">
        <w:rPr>
          <w:rFonts w:ascii="Times New Roman" w:eastAsia="Times New Roman" w:hAnsi="Times New Roman" w:cs="Times New Roman"/>
          <w:iCs/>
          <w:sz w:val="24"/>
          <w:szCs w:val="24"/>
          <w:lang w:val="en-ID"/>
        </w:rPr>
        <w:t xml:space="preserve">Kewenangan Administrasi; Penegakan Peraturan Daerah; </w:t>
      </w:r>
      <w:r w:rsidRPr="004D690F">
        <w:rPr>
          <w:rFonts w:ascii="Times New Roman" w:eastAsia="Times New Roman" w:hAnsi="Times New Roman" w:cs="Times New Roman"/>
          <w:iCs/>
          <w:sz w:val="24"/>
          <w:szCs w:val="24"/>
          <w:lang w:val="en-ID"/>
        </w:rPr>
        <w:t>Satuan Polisi Pamong Praja</w:t>
      </w:r>
      <w:r w:rsidR="00C0056B" w:rsidRPr="00C0056B">
        <w:rPr>
          <w:rFonts w:ascii="Times New Roman" w:eastAsia="Times New Roman" w:hAnsi="Times New Roman" w:cs="Times New Roman"/>
          <w:iCs/>
          <w:sz w:val="24"/>
          <w:szCs w:val="24"/>
          <w:lang w:val="en-ID"/>
        </w:rPr>
        <w:t>; Ketertiban Umum; Hukum Administrasi Negara</w:t>
      </w:r>
    </w:p>
    <w:p w14:paraId="4D3C9589" w14:textId="536385E8" w:rsidR="00B80FAF" w:rsidRDefault="00760126">
      <w:pPr>
        <w:numPr>
          <w:ilvl w:val="0"/>
          <w:numId w:val="1"/>
        </w:num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PENDAHULUAN</w:t>
      </w:r>
    </w:p>
    <w:p w14:paraId="25EA597A" w14:textId="393F8C0D"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Ketertiban umum dan ketenteraman masyarakat merupakan unsur fundamental dalam penyelenggaraan pemerintahan daerah. Fungsi ruang publik sebagai sarana aktivitas sosial, ekonomi, dan mobilitas masyarakat menuntut adanya pengaturan yang jelas serta penegakan hukum yang konsisten. Pemerintah daerah memiliki kewenangan konstitusional untuk mengatur dan mengendalikan pemanfaatan ruang publik melalui instrumen hukum berupa peraturan daerah. Penegakan peraturan daerah diposisikan sebagai bagian dari upaya menjaga kepastian hukum, keteraturan sosial, serta perlindungan kepentingan umum dalam kehidupan bermasyarakat.</w:t>
      </w:r>
      <w:r w:rsidR="00437784">
        <w:rPr>
          <w:rStyle w:val="FootnoteReference"/>
          <w:rFonts w:ascii="Times New Roman" w:eastAsia="Times New Roman" w:hAnsi="Times New Roman" w:cs="Times New Roman"/>
          <w:sz w:val="24"/>
          <w:szCs w:val="24"/>
          <w:lang w:val="en-ID"/>
        </w:rPr>
        <w:footnoteReference w:id="1"/>
      </w:r>
    </w:p>
    <w:p w14:paraId="2A775764" w14:textId="0122B576"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Satuan Polisi Pamong Praja berperan sebagai perangkat daerah yang diberikan kewenangan administratif untuk menegakkan peraturan daerah, menyelenggarakan ketertiban umum, dan menjaga ketenteraman masyarakat. Kewenangan tersebut bersifat legal-formal dan melekat langsung pada institusi berdasarkan peraturan perundang-undangan. Tindakan yang dilakukan mencakup pengawasan, pembinaan, penertiban, dan penindakan administratif non-yustisial. Pelaksanaan kewenangan ini bersentuhan langsung dengan masyarakat sehingga memiliki dimensi hukum sekaligus dimensi sosial.</w:t>
      </w:r>
      <w:r w:rsidR="00437784">
        <w:rPr>
          <w:rStyle w:val="FootnoteReference"/>
          <w:rFonts w:ascii="Times New Roman" w:eastAsia="Times New Roman" w:hAnsi="Times New Roman" w:cs="Times New Roman"/>
          <w:sz w:val="24"/>
          <w:szCs w:val="24"/>
          <w:lang w:val="en-ID"/>
        </w:rPr>
        <w:footnoteReference w:id="2"/>
      </w:r>
    </w:p>
    <w:p w14:paraId="2C00C16E" w14:textId="2D93C732"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 xml:space="preserve">Aktivitas ekonomi sektor informal yang memanfaatkan ruang publik menjadi fenomena yang sering menimbulkan persoalan ketertiban. Pemanfaatan fasilitas umum untuk kepentingan ekonomi berdampak pada fungsi ruang publik, kenyamanan masyarakat, serta tata kota. Keberadaan sektor informal memiliki nilai ekonomi dan sosial bagi masyarakat berpenghasilan rendah. Kondisi tersebut menempatkan penegakan peraturan daerah dalam posisi yang kompleks karena berhadapan dengan kebutuhan ekonomi masyarakat dan kewajiban pemerintah menjaga keteraturan umum. Situasi ini memerlukan pendekatan penegakan hukum yang tidak hanya </w:t>
      </w:r>
      <w:r w:rsidRPr="004D690F">
        <w:rPr>
          <w:rFonts w:ascii="Times New Roman" w:eastAsia="Times New Roman" w:hAnsi="Times New Roman" w:cs="Times New Roman"/>
          <w:sz w:val="24"/>
          <w:szCs w:val="24"/>
          <w:lang w:val="en-ID"/>
        </w:rPr>
        <w:lastRenderedPageBreak/>
        <w:t>berorientasi pada kepastian hukum, tetapi juga mempertimbangkan aspek kemanusiaan dan keadilan sosial .</w:t>
      </w:r>
      <w:r w:rsidR="00437784">
        <w:rPr>
          <w:rStyle w:val="FootnoteReference"/>
          <w:rFonts w:ascii="Times New Roman" w:eastAsia="Times New Roman" w:hAnsi="Times New Roman" w:cs="Times New Roman"/>
          <w:sz w:val="24"/>
          <w:szCs w:val="24"/>
          <w:lang w:val="en-ID"/>
        </w:rPr>
        <w:footnoteReference w:id="3"/>
      </w:r>
    </w:p>
    <w:p w14:paraId="340961B8" w14:textId="28AA4EED"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Kewenangan dalam hukum administrasi negara dipahami sebagai kekuasaan hukum yang sah bagi organ pemerintahan untuk bertindak dalam ruang lingkup tertentu. Kewenangan menjadi dasar legitimasi setiap tindakan aparatur pemerintahan. Sumber kewenangan meliputi atribusi, delegasi, dan mandat. Kewenangan atributif diberikan langsung oleh pembentuk undang-undang kepada suatu organ pemerintahan. Kewenangan delegatif berasal dari pelimpahan kewenangan pejabat yang lebih tinggi. Kewenangan mandat berupa pelimpahan pelaksanaan tugas tanpa pengalihan tanggung jawab hukum. Kejelasan sumber kewenangan menentukan sah atau tidaknya suatu tindakan pemerintahan.</w:t>
      </w:r>
      <w:r w:rsidR="00437784">
        <w:rPr>
          <w:rStyle w:val="FootnoteReference"/>
          <w:rFonts w:ascii="Times New Roman" w:eastAsia="Times New Roman" w:hAnsi="Times New Roman" w:cs="Times New Roman"/>
          <w:sz w:val="24"/>
          <w:szCs w:val="24"/>
          <w:lang w:val="en-ID"/>
        </w:rPr>
        <w:footnoteReference w:id="4"/>
      </w:r>
    </w:p>
    <w:p w14:paraId="66F691A1" w14:textId="6B63BA59"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Satuan Polisi Pamong Praja memiliki kewenangan atributif dalam penegakan peraturan daerah. Kewenangan tersebut memberikan legitimasi untuk melakukan tindakan administratif terhadap pelanggaran ketentuan daerah. Penegakan hukum administrasi berbeda dengan penegakan hukum pidana karena tidak berorientasi pada penghukuman yudisial. Penegakan hukum administrasi menitikberatkan pada pemulihan ketertiban, pencegahan pelanggaran, dan kepatuhan hukum. Pelaksanaan kewenangan administratif wajib memperhatikan asas legalitas, proporsionalitas, akuntabilitas, serta perlindungan hak asasi manusia.</w:t>
      </w:r>
      <w:r w:rsidR="00437784">
        <w:rPr>
          <w:rStyle w:val="FootnoteReference"/>
          <w:rFonts w:ascii="Times New Roman" w:eastAsia="Times New Roman" w:hAnsi="Times New Roman" w:cs="Times New Roman"/>
          <w:sz w:val="24"/>
          <w:szCs w:val="24"/>
          <w:lang w:val="en-ID"/>
        </w:rPr>
        <w:footnoteReference w:id="5"/>
      </w:r>
    </w:p>
    <w:p w14:paraId="7A1BB2ED" w14:textId="6BA65C72"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 xml:space="preserve">Penegakan hukum dipahami sebagai proses penerapan norma hukum ke dalam realitas sosial. Soerjono Soekanto memandang penegakan hukum sebagai upaya menyerasikan nilai, kaidah, dan perilaku manusia dalam masyarakat. Penegakan hukum tidak hanya bergantung pada kualitas peraturan tertulis, tetapi juga dipengaruhi oleh aparat penegak hukum, sarana pendukung, tingkat kesadaran hukum masyarakat, serta kebudayaan yang berkembang. Keberhasilan penegakan hukum tercermin dari terciptanya </w:t>
      </w:r>
      <w:r w:rsidRPr="004D690F">
        <w:rPr>
          <w:rFonts w:ascii="Times New Roman" w:eastAsia="Times New Roman" w:hAnsi="Times New Roman" w:cs="Times New Roman"/>
          <w:sz w:val="24"/>
          <w:szCs w:val="24"/>
          <w:lang w:val="en-ID"/>
        </w:rPr>
        <w:lastRenderedPageBreak/>
        <w:t>keteraturan sosial dan meningkatnya kepatuhan masyarakat terhadap hukum.</w:t>
      </w:r>
      <w:r w:rsidR="00437784">
        <w:rPr>
          <w:rStyle w:val="FootnoteReference"/>
          <w:rFonts w:ascii="Times New Roman" w:eastAsia="Times New Roman" w:hAnsi="Times New Roman" w:cs="Times New Roman"/>
          <w:sz w:val="24"/>
          <w:szCs w:val="24"/>
          <w:lang w:val="en-ID"/>
        </w:rPr>
        <w:footnoteReference w:id="6"/>
      </w:r>
    </w:p>
    <w:p w14:paraId="13AC3220" w14:textId="40BBB570"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Aparatur penegak hukum memiliki peran strategis dalam menentukan efektivitas penegakan hukum. Integritas, profesionalitas, serta kemampuan komunikasi aparatur memengaruhi penerimaan masyarakat terhadap tindakan penegakan hukum. Sarana dan prasarana operasional memengaruhi intensitas dan kesinambungan pengawasan. Tingkat kepatuhan hukum masyarakat mencerminkan efektivitas norma hukum yang berlaku. Nilai budaya memengaruhi sikap masyarakat terhadap aturan dan kewenangan pemerintah. Interaksi faktor-faktor tersebut membentuk dinamika penegakan hukum di tingkat daerah.</w:t>
      </w:r>
      <w:r w:rsidR="00437784">
        <w:rPr>
          <w:rStyle w:val="FootnoteReference"/>
          <w:rFonts w:ascii="Times New Roman" w:eastAsia="Times New Roman" w:hAnsi="Times New Roman" w:cs="Times New Roman"/>
          <w:sz w:val="24"/>
          <w:szCs w:val="24"/>
          <w:lang w:val="en-ID"/>
        </w:rPr>
        <w:footnoteReference w:id="7"/>
      </w:r>
    </w:p>
    <w:p w14:paraId="500BAB33" w14:textId="19569340"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Penelitian ini menggunakan pendekatan yuridis normatif dan yuridis empiris. Pendekatan yuridis normatif digunakan untuk mengkaji ketentuan peraturan perundang-undangan yang mengatur kewenangan dan fungsi penegakan hukum administrasi. Analisis normatif difokuskan pada konsep kewenangan, penegakan hukum, serta asas-asas hukum administrasi negara. Pendekatan yuridis empiris digunakan untuk memahami praktik pelaksanaan kewenangan penegakan peraturan daerah dalam realitas sosial. Pendekatan ini memberikan gambaran mengenai kesenjangan antara ketentuan normatif dan implementasi di lapangan.</w:t>
      </w:r>
    </w:p>
    <w:p w14:paraId="6AB3987E" w14:textId="77777777"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Data penelitian terdiri dari data primer dan data sekunder. Data primer diperoleh melalui wawancara dengan pihak-pihak yang terlibat langsung dalam pelaksanaan penegakan peraturan daerah dan pihak yang terdampak oleh kebijakan penertiban. Data sekunder berupa peraturan perundang-undangan, literatur hukum, buku teks, serta jurnal ilmiah yang relevan dengan kajian kewenangan dan penegakan hukum administrasi. Analisis data dilakukan secara deskriptif kualitatif untuk menggambarkan pola pelaksanaan kewenangan, hambatan penegakan hukum, serta implikasi hukum dan sosial yang muncul.</w:t>
      </w:r>
    </w:p>
    <w:p w14:paraId="4522A47B" w14:textId="77777777" w:rsidR="004D690F" w:rsidRDefault="004D690F">
      <w:pPr>
        <w:spacing w:after="0" w:line="240" w:lineRule="auto"/>
        <w:ind w:firstLine="426"/>
        <w:jc w:val="both"/>
        <w:rPr>
          <w:rFonts w:ascii="Times New Roman" w:eastAsia="Times New Roman" w:hAnsi="Times New Roman" w:cs="Times New Roman"/>
          <w:sz w:val="24"/>
          <w:szCs w:val="24"/>
        </w:rPr>
      </w:pPr>
    </w:p>
    <w:p w14:paraId="01F4FD51" w14:textId="53F40AB4" w:rsidR="00B80FAF" w:rsidRDefault="00760126">
      <w:pPr>
        <w:numPr>
          <w:ilvl w:val="0"/>
          <w:numId w:val="1"/>
        </w:num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HASIL DAN PEMBAHASAN</w:t>
      </w:r>
    </w:p>
    <w:p w14:paraId="7C82B4A4" w14:textId="3E4815EA"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 xml:space="preserve">Hasil penelitian menunjukkan bahwa kewenangan Satuan Polisi Pamong Praja dalam penegakan peraturan daerah secara normatif telah diatur secara jelas dalam peraturan perundang-undangan. Kewenangan tersebut bersifat administratif dan non-yustisial yang mencakup kegiatan pengawasan, pembinaan, penertiban, serta penindakan administratif terhadap pelanggaran peraturan daerah. Ketentuan normatif memberikan legitimasi hukum bagi aparatur untuk bertindak dalam menjaga ketertiban umum dan ketenteraman masyarakat. Kejelasan dasar hukum menjadi indikator adanya kepastian kewenangan dalam struktur pemerintahan daerah </w:t>
      </w:r>
      <w:r w:rsidR="00114960">
        <w:rPr>
          <w:rStyle w:val="FootnoteReference"/>
          <w:rFonts w:ascii="Times New Roman" w:eastAsia="Times New Roman" w:hAnsi="Times New Roman" w:cs="Times New Roman"/>
          <w:sz w:val="24"/>
          <w:szCs w:val="24"/>
          <w:lang w:val="en-ID"/>
        </w:rPr>
        <w:footnoteReference w:id="8"/>
      </w:r>
    </w:p>
    <w:p w14:paraId="20E75D41" w14:textId="2B337695"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Pelaksanaan kewenangan penegakan hukum administrasi dalam praktik menunjukkan adanya variasi pola tindakan. Tindakan pembinaan dan sosialisasi peraturan daerah menjadi bentuk awal penegakan hukum yang paling sering diterapkan. Pendekatan persuasif digunakan untuk meningkatkan pemahaman masyarakat terhadap aturan yang berlaku. Tindakan penertiban administratif dilakukan pada kondisi pelanggaran yang berulang atau berdampak langsung terhadap fungsi ruang publik. Pola ini menunjukkan bahwa penegakan hukum administrasi tidak selalu diwujudkan dalam bentuk tindakan represif, melainkan lebih dominan pada upaya preventif dan korektif.</w:t>
      </w:r>
    </w:p>
    <w:p w14:paraId="66F13930" w14:textId="00DCC1DF"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Efektivitas pelaksanaan kewenangan dipengaruhi oleh kapasitas sumber daya aparatur. Jumlah personel yang terbatas berdampak pada intensitas pengawasan yang tidak berkelanjutan. Keterbatasan sarana operasional memengaruhi jangkauan dan konsistensi penegakan peraturan daerah. Kondisi ini menyebabkan tindakan penertiban sering bersifat temporer dan tidak berkesinambungan. Fenomena tersebut memperlihatkan adanya kesenjangan antara kewenangan normatif dan kemampuan implementatif aparatur penegak peraturan daerah.</w:t>
      </w:r>
      <w:r w:rsidR="00114960">
        <w:rPr>
          <w:rStyle w:val="FootnoteReference"/>
          <w:rFonts w:ascii="Times New Roman" w:eastAsia="Times New Roman" w:hAnsi="Times New Roman" w:cs="Times New Roman"/>
          <w:sz w:val="24"/>
          <w:szCs w:val="24"/>
          <w:lang w:val="en-ID"/>
        </w:rPr>
        <w:footnoteReference w:id="9"/>
      </w:r>
    </w:p>
    <w:p w14:paraId="4F2BD794" w14:textId="3D6D3449"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 xml:space="preserve">Hasil penelitian juga menunjukkan bahwa tingkat kepatuhan hukum masyarakat terhadap peraturan daerah masih beragam. </w:t>
      </w:r>
      <w:r w:rsidRPr="004D690F">
        <w:rPr>
          <w:rFonts w:ascii="Times New Roman" w:eastAsia="Times New Roman" w:hAnsi="Times New Roman" w:cs="Times New Roman"/>
          <w:sz w:val="24"/>
          <w:szCs w:val="24"/>
          <w:lang w:val="en-ID"/>
        </w:rPr>
        <w:lastRenderedPageBreak/>
        <w:t>Sebagian masyarakat mematuhi aturan setelah dilakukan pembinaan dan penertiban administratif. Sebagian lainnya menunjukkan kecenderungan untuk kembali melakukan pelanggaran setelah tindakan penertiban dilaksanakan. Pola ini mencerminkan rendahnya internalisasi norma hukum dalam kesadaran masyarakat. Kepatuhan hukum yang bersifat situasional mengindikasikan bahwa penegakan hukum belum sepenuhnya membentuk perilaku hukum yang berkelanjutan.</w:t>
      </w:r>
      <w:r w:rsidR="00CF650C">
        <w:rPr>
          <w:rStyle w:val="FootnoteReference"/>
          <w:rFonts w:ascii="Times New Roman" w:eastAsia="Times New Roman" w:hAnsi="Times New Roman" w:cs="Times New Roman"/>
          <w:sz w:val="24"/>
          <w:szCs w:val="24"/>
          <w:lang w:val="en-ID"/>
        </w:rPr>
        <w:footnoteReference w:id="10"/>
      </w:r>
    </w:p>
    <w:p w14:paraId="5FFA2D3E" w14:textId="38FAA8A2"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 xml:space="preserve">Temuan tersebut sejalan dengan teori penegakan hukum yang dikemukakan oleh Soerjono Soekanto. Penegakan hukum dipengaruhi oleh faktor hukum, aparat penegak hukum, sarana pendukung, masyarakat, dan kebudayaan. Faktor hukum dalam penelitian ini telah terpenuhi melalui keberadaan peraturan daerah dan peraturan pelaksana. Faktor aparat dan sarana menunjukkan keterbatasan dalam pelaksanaan kewenangan. Faktor masyarakat dan kebudayaan memperlihatkan adanya nilai ekonomi dan kebiasaan sosial yang memengaruhi kepatuhan terhadap aturan </w:t>
      </w:r>
      <w:r w:rsidR="004E2E35">
        <w:rPr>
          <w:rStyle w:val="FootnoteReference"/>
          <w:rFonts w:ascii="Times New Roman" w:eastAsia="Times New Roman" w:hAnsi="Times New Roman" w:cs="Times New Roman"/>
          <w:sz w:val="24"/>
          <w:szCs w:val="24"/>
          <w:lang w:val="en-ID"/>
        </w:rPr>
        <w:footnoteReference w:id="11"/>
      </w:r>
    </w:p>
    <w:p w14:paraId="3F2E7D6C" w14:textId="1A3C1B71"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Aspek sosial ekonomi masyarakat menjadi variabel penting dalam pelaksanaan penegakan hukum administrasi. Aktivitas ekonomi sektor informal memiliki ketergantungan tinggi terhadap lokasi strategis di ruang publik. Ketergantungan tersebut memengaruhi respons masyarakat terhadap tindakan penertiban. Penegakan hukum yang hanya berorientasi pada kepastian hukum berpotensi menimbulkan resistensi sosial. Kondisi ini menegaskan bahwa penegakan hukum administrasi memiliki dimensi sosial yang tidak dapat diabaikan.</w:t>
      </w:r>
      <w:r w:rsidR="004E2E35">
        <w:rPr>
          <w:rStyle w:val="FootnoteReference"/>
          <w:rFonts w:ascii="Times New Roman" w:eastAsia="Times New Roman" w:hAnsi="Times New Roman" w:cs="Times New Roman"/>
          <w:sz w:val="24"/>
          <w:szCs w:val="24"/>
          <w:lang w:val="en-ID"/>
        </w:rPr>
        <w:footnoteReference w:id="12"/>
      </w:r>
    </w:p>
    <w:p w14:paraId="758E62A3" w14:textId="40B612EC"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 xml:space="preserve">Kewenangan atributif yang dimiliki oleh Satuan Polisi Pamong Praja secara hukum telah memberikan dasar legitimasi yang kuat. Implementasi kewenangan menunjukkan kecenderungan penggunaan diskresi administratif dalam situasi tertentu. Diskresi digunakan untuk menyesuaikan tindakan penegakan hukum dengan kondisi sosial di lapangan. Penggunaan diskresi mencerminkan </w:t>
      </w:r>
      <w:r w:rsidRPr="004D690F">
        <w:rPr>
          <w:rFonts w:ascii="Times New Roman" w:eastAsia="Times New Roman" w:hAnsi="Times New Roman" w:cs="Times New Roman"/>
          <w:sz w:val="24"/>
          <w:szCs w:val="24"/>
          <w:lang w:val="en-ID"/>
        </w:rPr>
        <w:lastRenderedPageBreak/>
        <w:t>fleksibilitas aparatur dalam menjalankan kewenangan administratif. Diskresi yang tidak disertai dengan pedoman yang jelas berpotensi menimbulkan inkonsistensi penegakan hukum.</w:t>
      </w:r>
      <w:r w:rsidR="004E2E35">
        <w:rPr>
          <w:rStyle w:val="FootnoteReference"/>
          <w:rFonts w:ascii="Times New Roman" w:eastAsia="Times New Roman" w:hAnsi="Times New Roman" w:cs="Times New Roman"/>
          <w:sz w:val="24"/>
          <w:szCs w:val="24"/>
          <w:lang w:val="en-ID"/>
        </w:rPr>
        <w:footnoteReference w:id="13"/>
      </w:r>
    </w:p>
    <w:p w14:paraId="726AEF36" w14:textId="77777777"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Koordinasi antarinstansi menjadi faktor yang memengaruhi efektivitas penegakan peraturan daerah. Penegakan hukum administrasi membutuhkan keterlibatan instansi lain yang memiliki kewenangan teknis terkait pengelolaan ruang publik dan aktivitas ekonomi masyarakat. Ketidaksinkronan kebijakan antarinstansi berdampak pada lemahnya tindak lanjut pasca penertiban. Penegakan hukum yang tidak terintegrasi berpotensi menghasilkan kondisi pelanggaran yang berulang.</w:t>
      </w:r>
    </w:p>
    <w:p w14:paraId="0B67EF52" w14:textId="3264C4D6"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Pendekatan penegakan hukum yang berkelanjutan memerlukan kombinasi antara tindakan administratif dan kebijakan penataan sosial ekonomi. Penegakan hukum yang hanya mengandalkan penertiban administratif tidak cukup untuk menciptakan ketertiban umum jangka panjang. Kebijakan pendukung yang bersifat struktural berperan dalam membangun kepatuhan hukum masyarakat. Hasil penelitian menunjukkan bahwa penegakan hukum administrasi lebih efektif ketika disertai dengan mekanisme pembinaan dan pengawasan yang konsisten.</w:t>
      </w:r>
      <w:r w:rsidR="004E2E35">
        <w:rPr>
          <w:rStyle w:val="FootnoteReference"/>
          <w:rFonts w:ascii="Times New Roman" w:eastAsia="Times New Roman" w:hAnsi="Times New Roman" w:cs="Times New Roman"/>
          <w:sz w:val="24"/>
          <w:szCs w:val="24"/>
          <w:lang w:val="en-ID"/>
        </w:rPr>
        <w:footnoteReference w:id="14"/>
      </w:r>
    </w:p>
    <w:p w14:paraId="27FAA712" w14:textId="77777777" w:rsid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Pembahasan ini menegaskan bahwa kewenangan Satuan Polisi Pamong Praja secara normatif telah memenuhi prinsip legalitas. Tantangan utama terletak pada aspek implementasi kewenangan dalam konteks sosial yang dinamis. Kesenjangan antara norma dan praktik menunjukkan perlunya penguatan kapasitas aparatur, konsistensi kebijakan, serta integrasi pendekatan hukum dan sosial. Hasil penelitian memberikan kontribusi terhadap pengembangan kajian hukum administrasi negara, khususnya dalam penegakan hukum non-yustisial di tingkat pemerintahan daerah.</w:t>
      </w:r>
    </w:p>
    <w:p w14:paraId="4C8F7A22" w14:textId="77777777" w:rsidR="004E2E35" w:rsidRPr="004D690F" w:rsidRDefault="004E2E35" w:rsidP="004D690F">
      <w:pPr>
        <w:spacing w:after="0" w:line="240" w:lineRule="auto"/>
        <w:ind w:firstLine="426"/>
        <w:jc w:val="both"/>
        <w:rPr>
          <w:rFonts w:ascii="Times New Roman" w:eastAsia="Times New Roman" w:hAnsi="Times New Roman" w:cs="Times New Roman"/>
          <w:sz w:val="24"/>
          <w:szCs w:val="24"/>
          <w:lang w:val="en-ID"/>
        </w:rPr>
      </w:pPr>
    </w:p>
    <w:p w14:paraId="14121625" w14:textId="77777777" w:rsidR="004D690F" w:rsidRDefault="004D690F">
      <w:pPr>
        <w:spacing w:after="0" w:line="240" w:lineRule="auto"/>
        <w:ind w:firstLine="426"/>
        <w:jc w:val="both"/>
        <w:rPr>
          <w:rFonts w:ascii="Times New Roman" w:eastAsia="Times New Roman" w:hAnsi="Times New Roman" w:cs="Times New Roman"/>
          <w:sz w:val="24"/>
          <w:szCs w:val="24"/>
        </w:rPr>
      </w:pPr>
    </w:p>
    <w:p w14:paraId="71ACE8E9" w14:textId="77777777" w:rsidR="004B07B5" w:rsidRDefault="004B07B5">
      <w:pPr>
        <w:spacing w:after="0" w:line="240" w:lineRule="auto"/>
        <w:ind w:firstLine="426"/>
        <w:jc w:val="both"/>
        <w:rPr>
          <w:rFonts w:ascii="Times New Roman" w:eastAsia="Times New Roman" w:hAnsi="Times New Roman" w:cs="Times New Roman"/>
          <w:sz w:val="24"/>
          <w:szCs w:val="24"/>
        </w:rPr>
      </w:pPr>
    </w:p>
    <w:p w14:paraId="1772AB22" w14:textId="77777777" w:rsidR="004B07B5" w:rsidRDefault="004B07B5">
      <w:pPr>
        <w:spacing w:after="0" w:line="240" w:lineRule="auto"/>
        <w:ind w:firstLine="426"/>
        <w:jc w:val="both"/>
        <w:rPr>
          <w:rFonts w:ascii="Times New Roman" w:eastAsia="Times New Roman" w:hAnsi="Times New Roman" w:cs="Times New Roman"/>
          <w:sz w:val="24"/>
          <w:szCs w:val="24"/>
        </w:rPr>
      </w:pPr>
    </w:p>
    <w:p w14:paraId="4B5BF997" w14:textId="77777777" w:rsidR="004B07B5" w:rsidRDefault="004B07B5">
      <w:pPr>
        <w:spacing w:after="0" w:line="240" w:lineRule="auto"/>
        <w:ind w:firstLine="426"/>
        <w:jc w:val="both"/>
        <w:rPr>
          <w:rFonts w:ascii="Times New Roman" w:eastAsia="Times New Roman" w:hAnsi="Times New Roman" w:cs="Times New Roman"/>
          <w:sz w:val="24"/>
          <w:szCs w:val="24"/>
        </w:rPr>
      </w:pPr>
    </w:p>
    <w:p w14:paraId="1BF9D7CD" w14:textId="4A4CA793" w:rsidR="00B80FAF" w:rsidRDefault="00760126">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KESIMPULAN</w:t>
      </w:r>
    </w:p>
    <w:p w14:paraId="33F85A67" w14:textId="77777777"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Penelitian ini menunjukkan bahwa kewenangan Satuan Polisi Pamong Praja dalam penegakan peraturan daerah telah memiliki dasar hukum yang jelas dan bersifat atributif. Kewenangan tersebut mencakup pengawasan, pembinaan, penertiban, serta penindakan administratif non-yustisial dalam rangka menjaga ketertiban umum dan ketenteraman masyarakat.</w:t>
      </w:r>
    </w:p>
    <w:p w14:paraId="59B0E321" w14:textId="77777777"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Pelaksanaan penegakan hukum administrasi lebih dominan menggunakan pendekatan preventif dan persuasif. Keterbatasan sumber daya aparatur dan sarana operasional memengaruhi konsistensi pengawasan dan keberlanjutan penegakan peraturan daerah. Tingkat kepatuhan hukum masyarakat masih bersifat situasional dan belum membentuk kesadaran hukum yang berkelanjutan.</w:t>
      </w:r>
    </w:p>
    <w:p w14:paraId="72064E4A" w14:textId="77777777" w:rsidR="004D690F" w:rsidRPr="004D690F" w:rsidRDefault="004D690F" w:rsidP="004D690F">
      <w:pPr>
        <w:spacing w:after="0" w:line="240" w:lineRule="auto"/>
        <w:ind w:firstLine="426"/>
        <w:jc w:val="both"/>
        <w:rPr>
          <w:rFonts w:ascii="Times New Roman" w:eastAsia="Times New Roman" w:hAnsi="Times New Roman" w:cs="Times New Roman"/>
          <w:sz w:val="24"/>
          <w:szCs w:val="24"/>
          <w:lang w:val="en-ID"/>
        </w:rPr>
      </w:pPr>
      <w:r w:rsidRPr="004D690F">
        <w:rPr>
          <w:rFonts w:ascii="Times New Roman" w:eastAsia="Times New Roman" w:hAnsi="Times New Roman" w:cs="Times New Roman"/>
          <w:sz w:val="24"/>
          <w:szCs w:val="24"/>
          <w:lang w:val="en-ID"/>
        </w:rPr>
        <w:t>Efektivitas penegakan peraturan daerah ditentukan oleh kesesuaian antara kewenangan normatif dan implementasi di lapangan. Penguatan kapasitas aparatur, konsistensi kebijakan, serta integrasi pendekatan hukum dan sosial menjadi faktor penting dalam menciptakan ketertiban umum yang berkelanjutan.</w:t>
      </w:r>
    </w:p>
    <w:p w14:paraId="331B028D" w14:textId="77777777" w:rsidR="00B80FAF" w:rsidRDefault="00B80FAF">
      <w:pPr>
        <w:spacing w:after="0" w:line="240" w:lineRule="auto"/>
        <w:jc w:val="both"/>
        <w:rPr>
          <w:rFonts w:ascii="Times New Roman" w:eastAsia="Times New Roman" w:hAnsi="Times New Roman" w:cs="Times New Roman"/>
          <w:sz w:val="24"/>
          <w:szCs w:val="24"/>
        </w:rPr>
      </w:pPr>
    </w:p>
    <w:p w14:paraId="2E3DA687" w14:textId="176D247C" w:rsidR="00B80FAF" w:rsidRDefault="00760126">
      <w:pPr>
        <w:spacing w:after="12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DAFTAR PUSTAKA</w:t>
      </w:r>
    </w:p>
    <w:p w14:paraId="689B62F4" w14:textId="77777777" w:rsidR="004E2E35" w:rsidRPr="004E2E35" w:rsidRDefault="004E2E35" w:rsidP="004E2E35">
      <w:pPr>
        <w:spacing w:after="0" w:line="240" w:lineRule="auto"/>
        <w:ind w:left="426" w:hanging="426"/>
        <w:jc w:val="both"/>
        <w:rPr>
          <w:rFonts w:ascii="Times New Roman" w:eastAsia="Times New Roman" w:hAnsi="Times New Roman" w:cs="Times New Roman"/>
          <w:color w:val="000000"/>
          <w:sz w:val="24"/>
          <w:szCs w:val="24"/>
          <w:lang w:val="en-ID"/>
        </w:rPr>
      </w:pPr>
      <w:r w:rsidRPr="004E2E35">
        <w:rPr>
          <w:rFonts w:ascii="Times New Roman" w:eastAsia="Times New Roman" w:hAnsi="Times New Roman" w:cs="Times New Roman"/>
          <w:color w:val="000000"/>
          <w:sz w:val="24"/>
          <w:szCs w:val="24"/>
          <w:lang w:val="en-ID"/>
        </w:rPr>
        <w:t xml:space="preserve">Hadjon, Philipus M., dkk. </w:t>
      </w:r>
      <w:r w:rsidRPr="004E2E35">
        <w:rPr>
          <w:rFonts w:ascii="Times New Roman" w:eastAsia="Times New Roman" w:hAnsi="Times New Roman" w:cs="Times New Roman"/>
          <w:i/>
          <w:iCs/>
          <w:color w:val="000000"/>
          <w:sz w:val="24"/>
          <w:szCs w:val="24"/>
          <w:lang w:val="en-ID"/>
        </w:rPr>
        <w:t>Pengantar Hukum Administrasi Indonesia</w:t>
      </w:r>
      <w:r w:rsidRPr="004E2E35">
        <w:rPr>
          <w:rFonts w:ascii="Times New Roman" w:eastAsia="Times New Roman" w:hAnsi="Times New Roman" w:cs="Times New Roman"/>
          <w:color w:val="000000"/>
          <w:sz w:val="24"/>
          <w:szCs w:val="24"/>
          <w:lang w:val="en-ID"/>
        </w:rPr>
        <w:t>. Yogyakarta: Gadjah Mada University Press, 2011.</w:t>
      </w:r>
    </w:p>
    <w:p w14:paraId="2C30217A" w14:textId="77777777" w:rsidR="004E2E35" w:rsidRPr="004E2E35" w:rsidRDefault="004E2E35" w:rsidP="004E2E35">
      <w:pPr>
        <w:spacing w:after="0" w:line="240" w:lineRule="auto"/>
        <w:ind w:left="426" w:hanging="426"/>
        <w:jc w:val="both"/>
        <w:rPr>
          <w:rFonts w:ascii="Times New Roman" w:eastAsia="Times New Roman" w:hAnsi="Times New Roman" w:cs="Times New Roman"/>
          <w:color w:val="000000"/>
          <w:sz w:val="24"/>
          <w:szCs w:val="24"/>
          <w:lang w:val="en-ID"/>
        </w:rPr>
      </w:pPr>
      <w:r w:rsidRPr="004E2E35">
        <w:rPr>
          <w:rFonts w:ascii="Times New Roman" w:eastAsia="Times New Roman" w:hAnsi="Times New Roman" w:cs="Times New Roman"/>
          <w:color w:val="000000"/>
          <w:sz w:val="24"/>
          <w:szCs w:val="24"/>
          <w:lang w:val="en-ID"/>
        </w:rPr>
        <w:t xml:space="preserve">Indrajit, Richardus Eko. </w:t>
      </w:r>
      <w:r w:rsidRPr="004E2E35">
        <w:rPr>
          <w:rFonts w:ascii="Times New Roman" w:eastAsia="Times New Roman" w:hAnsi="Times New Roman" w:cs="Times New Roman"/>
          <w:i/>
          <w:iCs/>
          <w:color w:val="000000"/>
          <w:sz w:val="24"/>
          <w:szCs w:val="24"/>
          <w:lang w:val="en-ID"/>
        </w:rPr>
        <w:t>Electronic Government: Strategi Pembangunan dan Pengembangan</w:t>
      </w:r>
      <w:r w:rsidRPr="004E2E35">
        <w:rPr>
          <w:rFonts w:ascii="Times New Roman" w:eastAsia="Times New Roman" w:hAnsi="Times New Roman" w:cs="Times New Roman"/>
          <w:color w:val="000000"/>
          <w:sz w:val="24"/>
          <w:szCs w:val="24"/>
          <w:lang w:val="en-ID"/>
        </w:rPr>
        <w:t>. Yogyakarta: Andi Offset, 2006.</w:t>
      </w:r>
    </w:p>
    <w:p w14:paraId="4D81224E" w14:textId="77777777" w:rsidR="004E2E35" w:rsidRPr="004E2E35" w:rsidRDefault="004E2E35" w:rsidP="004E2E35">
      <w:pPr>
        <w:spacing w:after="0" w:line="240" w:lineRule="auto"/>
        <w:ind w:left="426" w:hanging="426"/>
        <w:jc w:val="both"/>
        <w:rPr>
          <w:rFonts w:ascii="Times New Roman" w:eastAsia="Times New Roman" w:hAnsi="Times New Roman" w:cs="Times New Roman"/>
          <w:color w:val="000000"/>
          <w:sz w:val="24"/>
          <w:szCs w:val="24"/>
          <w:lang w:val="en-ID"/>
        </w:rPr>
      </w:pPr>
      <w:r w:rsidRPr="004E2E35">
        <w:rPr>
          <w:rFonts w:ascii="Times New Roman" w:eastAsia="Times New Roman" w:hAnsi="Times New Roman" w:cs="Times New Roman"/>
          <w:color w:val="000000"/>
          <w:sz w:val="24"/>
          <w:szCs w:val="24"/>
          <w:lang w:val="en-ID"/>
        </w:rPr>
        <w:t xml:space="preserve">Kusworo, D., M. N. K. Fauzi, dan Eka Deviani. “Establishment of a National Regulatory Body to Overcome Disharmonization of Natural Resources and Environmental Policies.” </w:t>
      </w:r>
      <w:r w:rsidRPr="004E2E35">
        <w:rPr>
          <w:rFonts w:ascii="Times New Roman" w:eastAsia="Times New Roman" w:hAnsi="Times New Roman" w:cs="Times New Roman"/>
          <w:i/>
          <w:iCs/>
          <w:color w:val="000000"/>
          <w:sz w:val="24"/>
          <w:szCs w:val="24"/>
          <w:lang w:val="en-ID"/>
        </w:rPr>
        <w:t>International Journal of Multicultural and Multireligious Understanding</w:t>
      </w:r>
      <w:r w:rsidRPr="004E2E35">
        <w:rPr>
          <w:rFonts w:ascii="Times New Roman" w:eastAsia="Times New Roman" w:hAnsi="Times New Roman" w:cs="Times New Roman"/>
          <w:color w:val="000000"/>
          <w:sz w:val="24"/>
          <w:szCs w:val="24"/>
          <w:lang w:val="en-ID"/>
        </w:rPr>
        <w:t xml:space="preserve"> Vol. 9 (2022): 120–130.</w:t>
      </w:r>
    </w:p>
    <w:p w14:paraId="6E0DF422" w14:textId="77777777" w:rsidR="004E2E35" w:rsidRPr="004E2E35" w:rsidRDefault="004E2E35" w:rsidP="004E2E35">
      <w:pPr>
        <w:spacing w:after="0" w:line="240" w:lineRule="auto"/>
        <w:ind w:left="426" w:hanging="426"/>
        <w:jc w:val="both"/>
        <w:rPr>
          <w:rFonts w:ascii="Times New Roman" w:eastAsia="Times New Roman" w:hAnsi="Times New Roman" w:cs="Times New Roman"/>
          <w:color w:val="000000"/>
          <w:sz w:val="24"/>
          <w:szCs w:val="24"/>
          <w:lang w:val="en-ID"/>
        </w:rPr>
      </w:pPr>
      <w:r w:rsidRPr="004E2E35">
        <w:rPr>
          <w:rFonts w:ascii="Times New Roman" w:eastAsia="Times New Roman" w:hAnsi="Times New Roman" w:cs="Times New Roman"/>
          <w:color w:val="000000"/>
          <w:sz w:val="24"/>
          <w:szCs w:val="24"/>
          <w:lang w:val="en-ID"/>
        </w:rPr>
        <w:t xml:space="preserve">Ridwan HR. </w:t>
      </w:r>
      <w:r w:rsidRPr="004E2E35">
        <w:rPr>
          <w:rFonts w:ascii="Times New Roman" w:eastAsia="Times New Roman" w:hAnsi="Times New Roman" w:cs="Times New Roman"/>
          <w:i/>
          <w:iCs/>
          <w:color w:val="000000"/>
          <w:sz w:val="24"/>
          <w:szCs w:val="24"/>
          <w:lang w:val="en-ID"/>
        </w:rPr>
        <w:t>Hukum Administrasi Negara</w:t>
      </w:r>
      <w:r w:rsidRPr="004E2E35">
        <w:rPr>
          <w:rFonts w:ascii="Times New Roman" w:eastAsia="Times New Roman" w:hAnsi="Times New Roman" w:cs="Times New Roman"/>
          <w:color w:val="000000"/>
          <w:sz w:val="24"/>
          <w:szCs w:val="24"/>
          <w:lang w:val="en-ID"/>
        </w:rPr>
        <w:t>. Jakarta: RajaGrafindo Persada, 2020.</w:t>
      </w:r>
    </w:p>
    <w:p w14:paraId="285BA87A" w14:textId="77777777" w:rsidR="004E2E35" w:rsidRPr="004E2E35" w:rsidRDefault="004E2E35" w:rsidP="004E2E35">
      <w:pPr>
        <w:spacing w:after="0" w:line="240" w:lineRule="auto"/>
        <w:ind w:left="426" w:hanging="426"/>
        <w:jc w:val="both"/>
        <w:rPr>
          <w:rFonts w:ascii="Times New Roman" w:eastAsia="Times New Roman" w:hAnsi="Times New Roman" w:cs="Times New Roman"/>
          <w:color w:val="000000"/>
          <w:sz w:val="24"/>
          <w:szCs w:val="24"/>
          <w:lang w:val="en-ID"/>
        </w:rPr>
      </w:pPr>
      <w:r w:rsidRPr="004E2E35">
        <w:rPr>
          <w:rFonts w:ascii="Times New Roman" w:eastAsia="Times New Roman" w:hAnsi="Times New Roman" w:cs="Times New Roman"/>
          <w:color w:val="000000"/>
          <w:sz w:val="24"/>
          <w:szCs w:val="24"/>
          <w:lang w:val="en-ID"/>
        </w:rPr>
        <w:t xml:space="preserve">Soekanto, Soerjono. </w:t>
      </w:r>
      <w:r w:rsidRPr="004E2E35">
        <w:rPr>
          <w:rFonts w:ascii="Times New Roman" w:eastAsia="Times New Roman" w:hAnsi="Times New Roman" w:cs="Times New Roman"/>
          <w:i/>
          <w:iCs/>
          <w:color w:val="000000"/>
          <w:sz w:val="24"/>
          <w:szCs w:val="24"/>
          <w:lang w:val="en-ID"/>
        </w:rPr>
        <w:t>Faktor-Faktor yang Mempengaruhi Penegakan Hukum</w:t>
      </w:r>
      <w:r w:rsidRPr="004E2E35">
        <w:rPr>
          <w:rFonts w:ascii="Times New Roman" w:eastAsia="Times New Roman" w:hAnsi="Times New Roman" w:cs="Times New Roman"/>
          <w:color w:val="000000"/>
          <w:sz w:val="24"/>
          <w:szCs w:val="24"/>
          <w:lang w:val="en-ID"/>
        </w:rPr>
        <w:t>. Jakarta: RajaGrafindo Persada, 2019.</w:t>
      </w:r>
    </w:p>
    <w:p w14:paraId="5F5B07FE" w14:textId="77777777" w:rsidR="004E2E35" w:rsidRPr="004E2E35" w:rsidRDefault="004E2E35" w:rsidP="004E2E35">
      <w:pPr>
        <w:spacing w:after="0" w:line="240" w:lineRule="auto"/>
        <w:ind w:left="426" w:hanging="426"/>
        <w:jc w:val="both"/>
        <w:rPr>
          <w:rFonts w:ascii="Times New Roman" w:eastAsia="Times New Roman" w:hAnsi="Times New Roman" w:cs="Times New Roman"/>
          <w:color w:val="000000"/>
          <w:sz w:val="24"/>
          <w:szCs w:val="24"/>
          <w:lang w:val="en-ID"/>
        </w:rPr>
      </w:pPr>
      <w:r w:rsidRPr="004E2E35">
        <w:rPr>
          <w:rFonts w:ascii="Times New Roman" w:eastAsia="Times New Roman" w:hAnsi="Times New Roman" w:cs="Times New Roman"/>
          <w:color w:val="000000"/>
          <w:sz w:val="24"/>
          <w:szCs w:val="24"/>
          <w:lang w:val="en-ID"/>
        </w:rPr>
        <w:lastRenderedPageBreak/>
        <w:t xml:space="preserve">Yudhi, Rifka. “Measuring Access to Justice in Completion of Honorer Employment in Indonesia.” </w:t>
      </w:r>
      <w:r w:rsidRPr="004E2E35">
        <w:rPr>
          <w:rFonts w:ascii="Times New Roman" w:eastAsia="Times New Roman" w:hAnsi="Times New Roman" w:cs="Times New Roman"/>
          <w:i/>
          <w:iCs/>
          <w:color w:val="000000"/>
          <w:sz w:val="24"/>
          <w:szCs w:val="24"/>
          <w:lang w:val="en-ID"/>
        </w:rPr>
        <w:t>Operations Research</w:t>
      </w:r>
      <w:r w:rsidRPr="004E2E35">
        <w:rPr>
          <w:rFonts w:ascii="Times New Roman" w:eastAsia="Times New Roman" w:hAnsi="Times New Roman" w:cs="Times New Roman"/>
          <w:color w:val="000000"/>
          <w:sz w:val="24"/>
          <w:szCs w:val="24"/>
          <w:lang w:val="en-ID"/>
        </w:rPr>
        <w:t xml:space="preserve"> Vol. 4, No. 2 (2023).</w:t>
      </w:r>
    </w:p>
    <w:p w14:paraId="638120A0" w14:textId="31AEE12A" w:rsidR="00B80FAF" w:rsidRPr="004E2E35" w:rsidRDefault="004E2E35" w:rsidP="004E2E35">
      <w:pPr>
        <w:spacing w:after="0" w:line="240" w:lineRule="auto"/>
        <w:ind w:left="426" w:hanging="426"/>
        <w:jc w:val="both"/>
        <w:rPr>
          <w:rFonts w:ascii="Times New Roman" w:eastAsia="Times New Roman" w:hAnsi="Times New Roman" w:cs="Times New Roman"/>
          <w:color w:val="000000"/>
          <w:sz w:val="24"/>
          <w:szCs w:val="24"/>
          <w:lang w:val="en-ID"/>
        </w:rPr>
      </w:pPr>
      <w:r w:rsidRPr="004E2E35">
        <w:rPr>
          <w:rFonts w:ascii="Times New Roman" w:eastAsia="Times New Roman" w:hAnsi="Times New Roman" w:cs="Times New Roman"/>
          <w:color w:val="000000"/>
          <w:sz w:val="24"/>
          <w:szCs w:val="24"/>
          <w:lang w:val="en-ID"/>
        </w:rPr>
        <w:t xml:space="preserve">Yudhi, Rifka, dan Satria Prayoga. </w:t>
      </w:r>
      <w:r w:rsidRPr="004E2E35">
        <w:rPr>
          <w:rFonts w:ascii="Times New Roman" w:eastAsia="Times New Roman" w:hAnsi="Times New Roman" w:cs="Times New Roman"/>
          <w:i/>
          <w:iCs/>
          <w:color w:val="000000"/>
          <w:sz w:val="24"/>
          <w:szCs w:val="24"/>
          <w:lang w:val="en-ID"/>
        </w:rPr>
        <w:t>Hukum Kepegawaian</w:t>
      </w:r>
      <w:r w:rsidRPr="004E2E35">
        <w:rPr>
          <w:rFonts w:ascii="Times New Roman" w:eastAsia="Times New Roman" w:hAnsi="Times New Roman" w:cs="Times New Roman"/>
          <w:color w:val="000000"/>
          <w:sz w:val="24"/>
          <w:szCs w:val="24"/>
          <w:lang w:val="en-ID"/>
        </w:rPr>
        <w:t>. Bandar Lampung: Justice Publisher, 2024.</w:t>
      </w:r>
    </w:p>
    <w:sectPr w:rsidR="00B80FAF" w:rsidRPr="004E2E35">
      <w:headerReference w:type="even" r:id="rId9"/>
      <w:headerReference w:type="default" r:id="rId10"/>
      <w:footerReference w:type="even" r:id="rId11"/>
      <w:footerReference w:type="default" r:id="rId12"/>
      <w:headerReference w:type="first" r:id="rId13"/>
      <w:footerReference w:type="first" r:id="rId14"/>
      <w:pgSz w:w="9072" w:h="13608"/>
      <w:pgMar w:top="1588" w:right="1247" w:bottom="1531" w:left="124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08592" w14:textId="77777777" w:rsidR="005F4D81" w:rsidRDefault="005F4D81">
      <w:pPr>
        <w:spacing w:after="0" w:line="240" w:lineRule="auto"/>
      </w:pPr>
      <w:r>
        <w:separator/>
      </w:r>
    </w:p>
  </w:endnote>
  <w:endnote w:type="continuationSeparator" w:id="0">
    <w:p w14:paraId="5849549F" w14:textId="77777777" w:rsidR="005F4D81" w:rsidRDefault="005F4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3A1231E-C76E-438B-B64C-36763CD68528}"/>
    <w:embedBold r:id="rId2" w:fontKey="{EBEC4A6C-2968-4EA1-9C45-1F9D8C651710}"/>
    <w:embedItalic r:id="rId3" w:fontKey="{E921613A-DF91-4D4A-8E61-56C1CE4A7B64}"/>
  </w:font>
  <w:font w:name="Times New Roman">
    <w:panose1 w:val="02020603050405020304"/>
    <w:charset w:val="00"/>
    <w:family w:val="roman"/>
    <w:pitch w:val="variable"/>
    <w:sig w:usb0="E0002EFF" w:usb1="C000785B" w:usb2="00000009" w:usb3="00000000" w:csb0="000001FF" w:csb1="00000000"/>
  </w:font>
  <w:font w:name="Jamia2014">
    <w:panose1 w:val="00000000000000000000"/>
    <w:charset w:val="00"/>
    <w:family w:val="roman"/>
    <w:notTrueType/>
    <w:pitch w:val="default"/>
  </w:font>
  <w:font w:name="Naskh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4" w:fontKey="{403B0C04-464D-4033-BA4D-361C0D41FB3B}"/>
    <w:embedItalic r:id="rId5" w:fontKey="{6D1EC6DA-9C05-4B3E-B59A-F4DBFDB6FFA3}"/>
  </w:font>
  <w:font w:name="Sorts Mill Goudy">
    <w:charset w:val="00"/>
    <w:family w:val="auto"/>
    <w:pitch w:val="default"/>
    <w:embedRegular r:id="rId6" w:fontKey="{74861C1A-7417-4E5D-8EB8-09A52E68F9FE}"/>
    <w:embedBold r:id="rId7" w:fontKey="{AEBBB795-812C-41C4-B6A3-D869CD09B6ED}"/>
    <w:embedItalic r:id="rId8" w:fontKey="{487FC5E3-16AB-4AC7-949A-32FC848FB242}"/>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9" w:fontKey="{A1B67EDB-CB56-413B-880C-40E30ED8AF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6C1F" w14:textId="77777777" w:rsidR="00B80FAF" w:rsidRDefault="00000000">
    <w:pPr>
      <w:pBdr>
        <w:top w:val="nil"/>
        <w:left w:val="nil"/>
        <w:bottom w:val="nil"/>
        <w:right w:val="nil"/>
        <w:between w:val="nil"/>
      </w:pBdr>
      <w:tabs>
        <w:tab w:val="center" w:pos="4153"/>
        <w:tab w:val="right" w:pos="8306"/>
      </w:tabs>
      <w:spacing w:after="0" w:line="240" w:lineRule="auto"/>
      <w:rPr>
        <w:rFonts w:ascii="Sorts Mill Goudy" w:eastAsia="Sorts Mill Goudy" w:hAnsi="Sorts Mill Goudy" w:cs="Sorts Mill Goudy"/>
        <w:b/>
        <w:color w:val="000000"/>
        <w:sz w:val="28"/>
        <w:szCs w:val="28"/>
      </w:rPr>
    </w:pPr>
    <w:r>
      <w:rPr>
        <w:rFonts w:ascii="Sorts Mill Goudy" w:eastAsia="Sorts Mill Goudy" w:hAnsi="Sorts Mill Goudy" w:cs="Sorts Mill Goudy"/>
        <w:b/>
        <w:color w:val="000000"/>
        <w:sz w:val="28"/>
        <w:szCs w:val="28"/>
      </w:rPr>
      <w:fldChar w:fldCharType="begin"/>
    </w:r>
    <w:r>
      <w:rPr>
        <w:rFonts w:ascii="Sorts Mill Goudy" w:eastAsia="Sorts Mill Goudy" w:hAnsi="Sorts Mill Goudy" w:cs="Sorts Mill Goudy"/>
        <w:b/>
        <w:color w:val="000000"/>
        <w:sz w:val="28"/>
        <w:szCs w:val="28"/>
      </w:rPr>
      <w:instrText>PAGE</w:instrText>
    </w:r>
    <w:r>
      <w:rPr>
        <w:rFonts w:ascii="Sorts Mill Goudy" w:eastAsia="Sorts Mill Goudy" w:hAnsi="Sorts Mill Goudy" w:cs="Sorts Mill Goudy"/>
        <w:b/>
        <w:color w:val="000000"/>
        <w:sz w:val="28"/>
        <w:szCs w:val="28"/>
      </w:rPr>
      <w:fldChar w:fldCharType="separate"/>
    </w:r>
    <w:r w:rsidR="004D690F">
      <w:rPr>
        <w:rFonts w:ascii="Sorts Mill Goudy" w:eastAsia="Sorts Mill Goudy" w:hAnsi="Sorts Mill Goudy" w:cs="Sorts Mill Goudy"/>
        <w:b/>
        <w:noProof/>
        <w:color w:val="000000"/>
        <w:sz w:val="28"/>
        <w:szCs w:val="28"/>
      </w:rPr>
      <w:t>2</w:t>
    </w:r>
    <w:r>
      <w:rPr>
        <w:rFonts w:ascii="Sorts Mill Goudy" w:eastAsia="Sorts Mill Goudy" w:hAnsi="Sorts Mill Goudy" w:cs="Sorts Mill Goudy"/>
        <w:b/>
        <w:color w:val="000000"/>
        <w:sz w:val="28"/>
        <w:szCs w:val="28"/>
      </w:rPr>
      <w:fldChar w:fldCharType="end"/>
    </w:r>
  </w:p>
  <w:p w14:paraId="75A6C0B8" w14:textId="77777777" w:rsidR="00B80FAF" w:rsidRDefault="00B80FAF">
    <w:pPr>
      <w:pBdr>
        <w:top w:val="nil"/>
        <w:left w:val="nil"/>
        <w:bottom w:val="nil"/>
        <w:right w:val="nil"/>
        <w:between w:val="nil"/>
      </w:pBdr>
      <w:tabs>
        <w:tab w:val="center" w:pos="4153"/>
        <w:tab w:val="right" w:pos="830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AC2A" w14:textId="77777777" w:rsidR="00B80FAF" w:rsidRDefault="00000000">
    <w:pPr>
      <w:pBdr>
        <w:top w:val="nil"/>
        <w:left w:val="nil"/>
        <w:bottom w:val="nil"/>
        <w:right w:val="nil"/>
        <w:between w:val="nil"/>
      </w:pBdr>
      <w:tabs>
        <w:tab w:val="center" w:pos="4153"/>
        <w:tab w:val="right" w:pos="8306"/>
      </w:tabs>
      <w:spacing w:after="0" w:line="240" w:lineRule="auto"/>
      <w:jc w:val="right"/>
      <w:rPr>
        <w:color w:val="000000"/>
      </w:rPr>
    </w:pPr>
    <w:r>
      <w:rPr>
        <w:rFonts w:ascii="Sorts Mill Goudy" w:eastAsia="Sorts Mill Goudy" w:hAnsi="Sorts Mill Goudy" w:cs="Sorts Mill Goudy"/>
        <w:b/>
        <w:color w:val="000000"/>
        <w:sz w:val="28"/>
        <w:szCs w:val="28"/>
      </w:rPr>
      <w:fldChar w:fldCharType="begin"/>
    </w:r>
    <w:r>
      <w:rPr>
        <w:rFonts w:ascii="Sorts Mill Goudy" w:eastAsia="Sorts Mill Goudy" w:hAnsi="Sorts Mill Goudy" w:cs="Sorts Mill Goudy"/>
        <w:b/>
        <w:color w:val="000000"/>
        <w:sz w:val="28"/>
        <w:szCs w:val="28"/>
      </w:rPr>
      <w:instrText>PAGE</w:instrText>
    </w:r>
    <w:r>
      <w:rPr>
        <w:rFonts w:ascii="Sorts Mill Goudy" w:eastAsia="Sorts Mill Goudy" w:hAnsi="Sorts Mill Goudy" w:cs="Sorts Mill Goudy"/>
        <w:b/>
        <w:color w:val="000000"/>
        <w:sz w:val="28"/>
        <w:szCs w:val="28"/>
      </w:rPr>
      <w:fldChar w:fldCharType="separate"/>
    </w:r>
    <w:r w:rsidR="004D690F">
      <w:rPr>
        <w:rFonts w:ascii="Sorts Mill Goudy" w:eastAsia="Sorts Mill Goudy" w:hAnsi="Sorts Mill Goudy" w:cs="Sorts Mill Goudy"/>
        <w:b/>
        <w:noProof/>
        <w:color w:val="000000"/>
        <w:sz w:val="28"/>
        <w:szCs w:val="28"/>
      </w:rPr>
      <w:t>3</w:t>
    </w:r>
    <w:r>
      <w:rPr>
        <w:rFonts w:ascii="Sorts Mill Goudy" w:eastAsia="Sorts Mill Goudy" w:hAnsi="Sorts Mill Goudy" w:cs="Sorts Mill Goudy"/>
        <w:b/>
        <w:color w:val="000000"/>
        <w:sz w:val="28"/>
        <w:szCs w:val="28"/>
      </w:rPr>
      <w:fldChar w:fldCharType="end"/>
    </w:r>
  </w:p>
  <w:p w14:paraId="4A679230" w14:textId="77777777" w:rsidR="00B80FAF" w:rsidRDefault="00B80FAF">
    <w:pPr>
      <w:pBdr>
        <w:top w:val="nil"/>
        <w:left w:val="nil"/>
        <w:bottom w:val="nil"/>
        <w:right w:val="nil"/>
        <w:between w:val="nil"/>
      </w:pBdr>
      <w:tabs>
        <w:tab w:val="center" w:pos="4153"/>
        <w:tab w:val="right" w:pos="830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2D67" w14:textId="77777777" w:rsidR="00B80FAF" w:rsidRDefault="00000000">
    <w:pPr>
      <w:pBdr>
        <w:top w:val="nil"/>
        <w:left w:val="nil"/>
        <w:bottom w:val="nil"/>
        <w:right w:val="nil"/>
        <w:between w:val="nil"/>
      </w:pBdr>
      <w:tabs>
        <w:tab w:val="center" w:pos="4153"/>
        <w:tab w:val="right" w:pos="8306"/>
      </w:tabs>
      <w:spacing w:after="0" w:line="240" w:lineRule="auto"/>
      <w:jc w:val="right"/>
      <w:rPr>
        <w:rFonts w:ascii="Sorts Mill Goudy" w:eastAsia="Sorts Mill Goudy" w:hAnsi="Sorts Mill Goudy" w:cs="Sorts Mill Goudy"/>
        <w:b/>
        <w:color w:val="000000"/>
        <w:sz w:val="28"/>
        <w:szCs w:val="28"/>
      </w:rPr>
    </w:pPr>
    <w:r>
      <w:rPr>
        <w:rFonts w:ascii="Sorts Mill Goudy" w:eastAsia="Sorts Mill Goudy" w:hAnsi="Sorts Mill Goudy" w:cs="Sorts Mill Goudy"/>
        <w:b/>
        <w:color w:val="000000"/>
        <w:sz w:val="28"/>
        <w:szCs w:val="28"/>
      </w:rPr>
      <w:fldChar w:fldCharType="begin"/>
    </w:r>
    <w:r>
      <w:rPr>
        <w:rFonts w:ascii="Sorts Mill Goudy" w:eastAsia="Sorts Mill Goudy" w:hAnsi="Sorts Mill Goudy" w:cs="Sorts Mill Goudy"/>
        <w:b/>
        <w:color w:val="000000"/>
        <w:sz w:val="28"/>
        <w:szCs w:val="28"/>
      </w:rPr>
      <w:instrText>PAGE</w:instrText>
    </w:r>
    <w:r>
      <w:rPr>
        <w:rFonts w:ascii="Sorts Mill Goudy" w:eastAsia="Sorts Mill Goudy" w:hAnsi="Sorts Mill Goudy" w:cs="Sorts Mill Goudy"/>
        <w:b/>
        <w:color w:val="000000"/>
        <w:sz w:val="28"/>
        <w:szCs w:val="28"/>
      </w:rPr>
      <w:fldChar w:fldCharType="separate"/>
    </w:r>
    <w:r w:rsidR="004D690F">
      <w:rPr>
        <w:rFonts w:ascii="Sorts Mill Goudy" w:eastAsia="Sorts Mill Goudy" w:hAnsi="Sorts Mill Goudy" w:cs="Sorts Mill Goudy"/>
        <w:b/>
        <w:noProof/>
        <w:color w:val="000000"/>
        <w:sz w:val="28"/>
        <w:szCs w:val="28"/>
      </w:rPr>
      <w:t>1</w:t>
    </w:r>
    <w:r>
      <w:rPr>
        <w:rFonts w:ascii="Sorts Mill Goudy" w:eastAsia="Sorts Mill Goudy" w:hAnsi="Sorts Mill Goudy" w:cs="Sorts Mill Goudy"/>
        <w:b/>
        <w:color w:val="000000"/>
        <w:sz w:val="28"/>
        <w:szCs w:val="28"/>
      </w:rPr>
      <w:fldChar w:fldCharType="end"/>
    </w:r>
  </w:p>
  <w:p w14:paraId="43B2A075" w14:textId="77777777" w:rsidR="00B80FAF" w:rsidRDefault="00B80FAF">
    <w:pPr>
      <w:pBdr>
        <w:top w:val="nil"/>
        <w:left w:val="nil"/>
        <w:bottom w:val="nil"/>
        <w:right w:val="nil"/>
        <w:between w:val="nil"/>
      </w:pBdr>
      <w:tabs>
        <w:tab w:val="center" w:pos="4153"/>
        <w:tab w:val="right" w:pos="8306"/>
      </w:tabs>
      <w:spacing w:after="0" w:line="240" w:lineRule="auto"/>
      <w:rPr>
        <w:rFonts w:ascii="Sorts Mill Goudy" w:eastAsia="Sorts Mill Goudy" w:hAnsi="Sorts Mill Goudy" w:cs="Sorts Mill Goudy"/>
        <w:b/>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B4049" w14:textId="77777777" w:rsidR="005F4D81" w:rsidRDefault="005F4D81">
      <w:pPr>
        <w:spacing w:after="0" w:line="240" w:lineRule="auto"/>
      </w:pPr>
      <w:r>
        <w:separator/>
      </w:r>
    </w:p>
  </w:footnote>
  <w:footnote w:type="continuationSeparator" w:id="0">
    <w:p w14:paraId="1576D663" w14:textId="77777777" w:rsidR="005F4D81" w:rsidRDefault="005F4D81">
      <w:pPr>
        <w:spacing w:after="0" w:line="240" w:lineRule="auto"/>
      </w:pPr>
      <w:r>
        <w:continuationSeparator/>
      </w:r>
    </w:p>
  </w:footnote>
  <w:footnote w:id="1">
    <w:p w14:paraId="55ECA244" w14:textId="653CFF25" w:rsidR="00437784" w:rsidRPr="004E2E35" w:rsidRDefault="00437784"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Rifka Yudhi dan Satria Prayoga, </w:t>
      </w:r>
      <w:r w:rsidRPr="004E2E35">
        <w:rPr>
          <w:rFonts w:ascii="Times New Roman" w:hAnsi="Times New Roman" w:cs="Times New Roman"/>
          <w:i/>
          <w:iCs/>
        </w:rPr>
        <w:t>Hukum Kepegawaian</w:t>
      </w:r>
      <w:r w:rsidRPr="004E2E35">
        <w:rPr>
          <w:rFonts w:ascii="Times New Roman" w:hAnsi="Times New Roman" w:cs="Times New Roman"/>
        </w:rPr>
        <w:t>, Justice Publisher, Bandar Lampung, 2024, hlm. 1–15.</w:t>
      </w:r>
    </w:p>
  </w:footnote>
  <w:footnote w:id="2">
    <w:p w14:paraId="2B981123" w14:textId="3D615330" w:rsidR="00437784" w:rsidRPr="004E2E35" w:rsidRDefault="00437784"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D. Kusworo, M. N. K. Fauzi, dan Eka Deviani, “Establishment of a National Regulatory Body to Overcome Disharmonization of Natural Resources and Environmental Policies,” </w:t>
      </w:r>
      <w:r w:rsidRPr="004E2E35">
        <w:rPr>
          <w:rFonts w:ascii="Times New Roman" w:hAnsi="Times New Roman" w:cs="Times New Roman"/>
          <w:i/>
          <w:iCs/>
        </w:rPr>
        <w:t>International Journal of Multicultural and Multireligious Understanding</w:t>
      </w:r>
      <w:r w:rsidRPr="004E2E35">
        <w:rPr>
          <w:rFonts w:ascii="Times New Roman" w:hAnsi="Times New Roman" w:cs="Times New Roman"/>
        </w:rPr>
        <w:t>, Vol. 9, 2022, hlm. 120–130.</w:t>
      </w:r>
    </w:p>
  </w:footnote>
  <w:footnote w:id="3">
    <w:p w14:paraId="194DA122" w14:textId="5F13F285" w:rsidR="00437784" w:rsidRPr="004E2E35" w:rsidRDefault="00437784"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Philipus M. Hadjon dkk., </w:t>
      </w:r>
      <w:r w:rsidRPr="004E2E35">
        <w:rPr>
          <w:rFonts w:ascii="Times New Roman" w:hAnsi="Times New Roman" w:cs="Times New Roman"/>
          <w:i/>
          <w:iCs/>
        </w:rPr>
        <w:t>Pengantar Hukum Administrasi Indonesia</w:t>
      </w:r>
      <w:r w:rsidRPr="004E2E35">
        <w:rPr>
          <w:rFonts w:ascii="Times New Roman" w:hAnsi="Times New Roman" w:cs="Times New Roman"/>
        </w:rPr>
        <w:t>, Gadjah Mada University Press, Yogyakarta, 2011, hlm. 281–285.</w:t>
      </w:r>
    </w:p>
  </w:footnote>
  <w:footnote w:id="4">
    <w:p w14:paraId="28A29A76" w14:textId="1071DBA9" w:rsidR="00437784" w:rsidRPr="004E2E35" w:rsidRDefault="00437784"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Richardus Eko Indrajit, </w:t>
      </w:r>
      <w:r w:rsidRPr="004E2E35">
        <w:rPr>
          <w:rFonts w:ascii="Times New Roman" w:hAnsi="Times New Roman" w:cs="Times New Roman"/>
          <w:i/>
          <w:iCs/>
        </w:rPr>
        <w:t>Electronic Government: Strategi Pembangunan dan Pengembangan</w:t>
      </w:r>
      <w:r w:rsidRPr="004E2E35">
        <w:rPr>
          <w:rFonts w:ascii="Times New Roman" w:hAnsi="Times New Roman" w:cs="Times New Roman"/>
        </w:rPr>
        <w:t>, Andi Offset, Yogyakarta, 2006, hlm. 45–52.</w:t>
      </w:r>
    </w:p>
  </w:footnote>
  <w:footnote w:id="5">
    <w:p w14:paraId="6BF0C7A3" w14:textId="2ECC8609" w:rsidR="00437784" w:rsidRPr="004E2E35" w:rsidRDefault="00437784"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w:t>
      </w:r>
      <w:r w:rsidR="004E2E35" w:rsidRPr="004E2E35">
        <w:rPr>
          <w:rFonts w:ascii="Times New Roman" w:hAnsi="Times New Roman" w:cs="Times New Roman"/>
        </w:rPr>
        <w:t>Ibid</w:t>
      </w:r>
    </w:p>
  </w:footnote>
  <w:footnote w:id="6">
    <w:p w14:paraId="6835831D" w14:textId="415832A0" w:rsidR="00437784" w:rsidRPr="004E2E35" w:rsidRDefault="00437784"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Soerjono Soekanto, </w:t>
      </w:r>
      <w:r w:rsidRPr="004E2E35">
        <w:rPr>
          <w:rFonts w:ascii="Times New Roman" w:hAnsi="Times New Roman" w:cs="Times New Roman"/>
          <w:i/>
          <w:iCs/>
        </w:rPr>
        <w:t>Faktor-Faktor yang Mempengaruhi Penegakan Hukum</w:t>
      </w:r>
      <w:r w:rsidRPr="004E2E35">
        <w:rPr>
          <w:rFonts w:ascii="Times New Roman" w:hAnsi="Times New Roman" w:cs="Times New Roman"/>
        </w:rPr>
        <w:t>, RajaGrafindo Persada, Jakarta, 2019, hlm. 8–15.</w:t>
      </w:r>
    </w:p>
  </w:footnote>
  <w:footnote w:id="7">
    <w:p w14:paraId="7C2C5583" w14:textId="5FB0A239" w:rsidR="00437784" w:rsidRPr="004E2E35" w:rsidRDefault="00437784"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Ibid</w:t>
      </w:r>
    </w:p>
  </w:footnote>
  <w:footnote w:id="8">
    <w:p w14:paraId="6E7D7764" w14:textId="3F28258F" w:rsidR="00114960" w:rsidRPr="004E2E35" w:rsidRDefault="00114960"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w:t>
      </w:r>
      <w:r w:rsidR="004E2E35" w:rsidRPr="004E2E35">
        <w:rPr>
          <w:rFonts w:ascii="Times New Roman" w:hAnsi="Times New Roman" w:cs="Times New Roman"/>
        </w:rPr>
        <w:t xml:space="preserve">Ridwan HR, </w:t>
      </w:r>
      <w:r w:rsidR="004E2E35" w:rsidRPr="004E2E35">
        <w:rPr>
          <w:rFonts w:ascii="Times New Roman" w:hAnsi="Times New Roman" w:cs="Times New Roman"/>
          <w:i/>
          <w:iCs/>
        </w:rPr>
        <w:t>Hukum Administrasi Negara</w:t>
      </w:r>
      <w:r w:rsidR="004E2E35" w:rsidRPr="004E2E35">
        <w:rPr>
          <w:rFonts w:ascii="Times New Roman" w:hAnsi="Times New Roman" w:cs="Times New Roman"/>
        </w:rPr>
        <w:t>, RajaGrafindo Persada, Jakarta, 2020, hlm. 102–110.</w:t>
      </w:r>
    </w:p>
  </w:footnote>
  <w:footnote w:id="9">
    <w:p w14:paraId="30063B57" w14:textId="38CD1646" w:rsidR="00114960" w:rsidRPr="004E2E35" w:rsidRDefault="00114960"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w:t>
      </w:r>
      <w:r w:rsidR="004E2E35" w:rsidRPr="004E2E35">
        <w:rPr>
          <w:rFonts w:ascii="Times New Roman" w:hAnsi="Times New Roman" w:cs="Times New Roman"/>
        </w:rPr>
        <w:t xml:space="preserve">Rifka Yudhi dan Satria Prayoga, </w:t>
      </w:r>
      <w:r w:rsidR="004E2E35" w:rsidRPr="004E2E35">
        <w:rPr>
          <w:rFonts w:ascii="Times New Roman" w:hAnsi="Times New Roman" w:cs="Times New Roman"/>
          <w:i/>
          <w:iCs/>
        </w:rPr>
        <w:t>Hukum Kepegawaian</w:t>
      </w:r>
      <w:r w:rsidR="004E2E35" w:rsidRPr="004E2E35">
        <w:rPr>
          <w:rFonts w:ascii="Times New Roman" w:hAnsi="Times New Roman" w:cs="Times New Roman"/>
        </w:rPr>
        <w:t>, Justice Publisher, Bandar Lampung, 2024.</w:t>
      </w:r>
    </w:p>
  </w:footnote>
  <w:footnote w:id="10">
    <w:p w14:paraId="217BBA93" w14:textId="2CD2FA17" w:rsidR="00CF650C" w:rsidRPr="004E2E35" w:rsidRDefault="00CF650C"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w:t>
      </w:r>
      <w:r w:rsidR="004E2E35" w:rsidRPr="004E2E35">
        <w:rPr>
          <w:rFonts w:ascii="Times New Roman" w:hAnsi="Times New Roman" w:cs="Times New Roman"/>
        </w:rPr>
        <w:t xml:space="preserve">Soerjono Soekanto, </w:t>
      </w:r>
      <w:r w:rsidR="004E2E35" w:rsidRPr="004E2E35">
        <w:rPr>
          <w:rFonts w:ascii="Times New Roman" w:hAnsi="Times New Roman" w:cs="Times New Roman"/>
          <w:i/>
          <w:iCs/>
        </w:rPr>
        <w:t>Faktor-Faktor yang Mempengaruhi Penegakan Hukum</w:t>
      </w:r>
      <w:r w:rsidR="004E2E35" w:rsidRPr="004E2E35">
        <w:rPr>
          <w:rFonts w:ascii="Times New Roman" w:hAnsi="Times New Roman" w:cs="Times New Roman"/>
        </w:rPr>
        <w:t>, RajaGrafindo Persada, Jakarta, 2019, hlm. 8–15.</w:t>
      </w:r>
    </w:p>
  </w:footnote>
  <w:footnote w:id="11">
    <w:p w14:paraId="03241271" w14:textId="2FC27F7D" w:rsidR="004E2E35" w:rsidRPr="004E2E35" w:rsidRDefault="004E2E35"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Ibid</w:t>
      </w:r>
    </w:p>
  </w:footnote>
  <w:footnote w:id="12">
    <w:p w14:paraId="0EF56E75" w14:textId="50BD57CD" w:rsidR="004E2E35" w:rsidRPr="004E2E35" w:rsidRDefault="004E2E35"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Rifka Yudhi, “</w:t>
      </w:r>
      <w:r w:rsidRPr="004E2E35">
        <w:rPr>
          <w:rFonts w:ascii="Times New Roman" w:hAnsi="Times New Roman" w:cs="Times New Roman"/>
          <w:i/>
          <w:iCs/>
        </w:rPr>
        <w:t>Measuring Access to Justice in Completion of Honorer Employment in Indonesia</w:t>
      </w:r>
      <w:r w:rsidRPr="004E2E35">
        <w:rPr>
          <w:rFonts w:ascii="Times New Roman" w:hAnsi="Times New Roman" w:cs="Times New Roman"/>
        </w:rPr>
        <w:t xml:space="preserve">,” </w:t>
      </w:r>
      <w:r w:rsidRPr="004E2E35">
        <w:rPr>
          <w:rFonts w:ascii="Times New Roman" w:hAnsi="Times New Roman" w:cs="Times New Roman"/>
          <w:i/>
          <w:iCs/>
        </w:rPr>
        <w:t>Operations Research</w:t>
      </w:r>
      <w:r w:rsidRPr="004E2E35">
        <w:rPr>
          <w:rFonts w:ascii="Times New Roman" w:hAnsi="Times New Roman" w:cs="Times New Roman"/>
        </w:rPr>
        <w:t>, Vol. 4, No. 2, 2023.</w:t>
      </w:r>
    </w:p>
  </w:footnote>
  <w:footnote w:id="13">
    <w:p w14:paraId="2400D0DC" w14:textId="773EE4B4" w:rsidR="004E2E35" w:rsidRPr="004E2E35" w:rsidRDefault="004E2E35" w:rsidP="004E2E35">
      <w:pPr>
        <w:pStyle w:val="FootnoteText"/>
        <w:jc w:val="both"/>
        <w:rPr>
          <w:rFonts w:ascii="Times New Roman" w:hAnsi="Times New Roman" w:cs="Times New Roman"/>
        </w:rPr>
      </w:pPr>
      <w:r w:rsidRPr="004E2E35">
        <w:rPr>
          <w:rStyle w:val="FootnoteReference"/>
          <w:rFonts w:ascii="Times New Roman" w:hAnsi="Times New Roman" w:cs="Times New Roman"/>
        </w:rPr>
        <w:footnoteRef/>
      </w:r>
      <w:r w:rsidRPr="004E2E35">
        <w:rPr>
          <w:rFonts w:ascii="Times New Roman" w:hAnsi="Times New Roman" w:cs="Times New Roman"/>
        </w:rPr>
        <w:t xml:space="preserve"> Philipus M. Hadjon dkk., </w:t>
      </w:r>
      <w:r w:rsidRPr="004E2E35">
        <w:rPr>
          <w:rFonts w:ascii="Times New Roman" w:hAnsi="Times New Roman" w:cs="Times New Roman"/>
          <w:i/>
          <w:iCs/>
        </w:rPr>
        <w:t>Pengantar Hukum Administrasi Indonesia</w:t>
      </w:r>
      <w:r w:rsidRPr="004E2E35">
        <w:rPr>
          <w:rFonts w:ascii="Times New Roman" w:hAnsi="Times New Roman" w:cs="Times New Roman"/>
        </w:rPr>
        <w:t>, Gadjah Mada University Press, Yogyakarta, 2011, hlm. 281–285.</w:t>
      </w:r>
    </w:p>
  </w:footnote>
  <w:footnote w:id="14">
    <w:p w14:paraId="5EE01BFC" w14:textId="3371900D" w:rsidR="004E2E35" w:rsidRDefault="004E2E35" w:rsidP="004E2E35">
      <w:pPr>
        <w:pStyle w:val="FootnoteText"/>
        <w:jc w:val="both"/>
      </w:pPr>
      <w:r w:rsidRPr="004E2E35">
        <w:rPr>
          <w:rStyle w:val="FootnoteReference"/>
          <w:rFonts w:ascii="Times New Roman" w:hAnsi="Times New Roman" w:cs="Times New Roman"/>
        </w:rPr>
        <w:footnoteRef/>
      </w:r>
      <w:r w:rsidRPr="004E2E35">
        <w:rPr>
          <w:rFonts w:ascii="Times New Roman" w:hAnsi="Times New Roman" w:cs="Times New Roman"/>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4BFA" w14:textId="1F0C0B86" w:rsidR="00B80FAF" w:rsidRDefault="00760126">
    <w:pPr>
      <w:pBdr>
        <w:top w:val="nil"/>
        <w:left w:val="nil"/>
        <w:bottom w:val="nil"/>
        <w:right w:val="nil"/>
        <w:between w:val="nil"/>
      </w:pBdr>
      <w:tabs>
        <w:tab w:val="center" w:pos="4153"/>
        <w:tab w:val="right" w:pos="8306"/>
      </w:tabs>
      <w:spacing w:after="0" w:line="240" w:lineRule="auto"/>
      <w:rPr>
        <w:rFonts w:ascii="Sorts Mill Goudy" w:eastAsia="Sorts Mill Goudy" w:hAnsi="Sorts Mill Goudy" w:cs="Sorts Mill Goudy"/>
        <w:color w:val="000000"/>
        <w:sz w:val="20"/>
        <w:szCs w:val="20"/>
      </w:rPr>
    </w:pPr>
    <w:r>
      <w:rPr>
        <w:rFonts w:ascii="Sorts Mill Goudy" w:eastAsia="Sorts Mill Goudy" w:hAnsi="Sorts Mill Goudy" w:cs="Sorts Mill Goudy"/>
        <w:color w:val="000000"/>
        <w:sz w:val="20"/>
        <w:szCs w:val="20"/>
      </w:rPr>
      <w:t>Martha Hartona, Eka Deviani, Satria Prayoga</w:t>
    </w:r>
  </w:p>
  <w:p w14:paraId="20FCDC3A" w14:textId="1F9956FE" w:rsidR="00760126" w:rsidRPr="00760126" w:rsidRDefault="00760126">
    <w:pPr>
      <w:pBdr>
        <w:top w:val="nil"/>
        <w:left w:val="nil"/>
        <w:bottom w:val="nil"/>
        <w:right w:val="nil"/>
        <w:between w:val="nil"/>
      </w:pBdr>
      <w:tabs>
        <w:tab w:val="center" w:pos="4153"/>
        <w:tab w:val="right" w:pos="8306"/>
      </w:tabs>
      <w:spacing w:after="0" w:line="240" w:lineRule="auto"/>
      <w:rPr>
        <w:rFonts w:ascii="Sorts Mill Goudy" w:eastAsia="Sorts Mill Goudy" w:hAnsi="Sorts Mill Goudy" w:cs="Sorts Mill Goudy"/>
        <w:iCs/>
        <w:color w:val="000000"/>
        <w:sz w:val="20"/>
        <w:szCs w:val="20"/>
      </w:rPr>
    </w:pPr>
    <w:r>
      <w:rPr>
        <w:rFonts w:ascii="Sorts Mill Goudy" w:eastAsia="Sorts Mill Goudy" w:hAnsi="Sorts Mill Goudy" w:cs="Sorts Mill Goudy"/>
        <w:iCs/>
        <w:color w:val="000000"/>
        <w:sz w:val="20"/>
        <w:szCs w:val="20"/>
      </w:rPr>
      <w:t>Penegakan Peraturan Daerah Oleh Satuan Polisi Pamong Praja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F8B2" w14:textId="77777777" w:rsidR="00B80FAF" w:rsidRDefault="00000000">
    <w:pPr>
      <w:pBdr>
        <w:top w:val="nil"/>
        <w:left w:val="nil"/>
        <w:bottom w:val="nil"/>
        <w:right w:val="nil"/>
        <w:between w:val="nil"/>
      </w:pBdr>
      <w:tabs>
        <w:tab w:val="center" w:pos="4153"/>
        <w:tab w:val="right" w:pos="8306"/>
      </w:tabs>
      <w:spacing w:after="0" w:line="240" w:lineRule="auto"/>
      <w:jc w:val="right"/>
      <w:rPr>
        <w:rFonts w:ascii="Sorts Mill Goudy" w:eastAsia="Sorts Mill Goudy" w:hAnsi="Sorts Mill Goudy" w:cs="Sorts Mill Goudy"/>
        <w:i/>
        <w:color w:val="000000"/>
        <w:sz w:val="20"/>
        <w:szCs w:val="20"/>
      </w:rPr>
    </w:pPr>
    <w:r>
      <w:rPr>
        <w:rFonts w:ascii="Sorts Mill Goudy" w:eastAsia="Sorts Mill Goudy" w:hAnsi="Sorts Mill Goudy" w:cs="Sorts Mill Goudy"/>
        <w:i/>
        <w:color w:val="000000"/>
        <w:sz w:val="20"/>
        <w:szCs w:val="20"/>
      </w:rPr>
      <w:t xml:space="preserve">Jurnal </w:t>
    </w:r>
    <w:r>
      <w:rPr>
        <w:rFonts w:ascii="Sorts Mill Goudy" w:eastAsia="Sorts Mill Goudy" w:hAnsi="Sorts Mill Goudy" w:cs="Sorts Mill Goudy"/>
        <w:i/>
        <w:sz w:val="20"/>
        <w:szCs w:val="20"/>
      </w:rPr>
      <w:t>JLSCR</w:t>
    </w:r>
  </w:p>
  <w:p w14:paraId="77E5C011" w14:textId="77777777" w:rsidR="00B80FAF" w:rsidRDefault="00000000">
    <w:pPr>
      <w:pBdr>
        <w:top w:val="nil"/>
        <w:left w:val="nil"/>
        <w:bottom w:val="nil"/>
        <w:right w:val="nil"/>
        <w:between w:val="nil"/>
      </w:pBdr>
      <w:tabs>
        <w:tab w:val="center" w:pos="4153"/>
        <w:tab w:val="right" w:pos="8306"/>
      </w:tabs>
      <w:spacing w:after="0" w:line="240" w:lineRule="auto"/>
      <w:jc w:val="right"/>
      <w:rPr>
        <w:rFonts w:ascii="Sorts Mill Goudy" w:eastAsia="Sorts Mill Goudy" w:hAnsi="Sorts Mill Goudy" w:cs="Sorts Mill Goudy"/>
        <w:color w:val="000000"/>
        <w:sz w:val="20"/>
        <w:szCs w:val="20"/>
      </w:rPr>
    </w:pPr>
    <w:r>
      <w:rPr>
        <w:rFonts w:ascii="Sorts Mill Goudy" w:eastAsia="Sorts Mill Goudy" w:hAnsi="Sorts Mill Goudy" w:cs="Sorts Mill Goudy"/>
        <w:color w:val="000000"/>
        <w:sz w:val="20"/>
        <w:szCs w:val="20"/>
      </w:rPr>
      <w:t>Vol. x, no. x (xxxx), pp. x-xx, doi: 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2E43" w14:textId="77777777" w:rsidR="00B80FAF" w:rsidRDefault="00000000">
    <w:pPr>
      <w:widowControl w:val="0"/>
      <w:pBdr>
        <w:top w:val="nil"/>
        <w:left w:val="nil"/>
        <w:bottom w:val="nil"/>
        <w:right w:val="nil"/>
        <w:between w:val="nil"/>
      </w:pBdr>
      <w:spacing w:after="0" w:line="276" w:lineRule="auto"/>
      <w:rPr>
        <w:rFonts w:ascii="Sorts Mill Goudy" w:eastAsia="Sorts Mill Goudy" w:hAnsi="Sorts Mill Goudy" w:cs="Sorts Mill Goudy"/>
        <w:color w:val="000000"/>
        <w:sz w:val="20"/>
        <w:szCs w:val="20"/>
      </w:rPr>
    </w:pPr>
    <w:r>
      <w:rPr>
        <w:noProof/>
      </w:rPr>
      <w:drawing>
        <wp:anchor distT="0" distB="0" distL="114300" distR="114300" simplePos="0" relativeHeight="251658240" behindDoc="0" locked="0" layoutInCell="1" hidden="0" allowOverlap="1" wp14:anchorId="3CAC7206" wp14:editId="3E9F23BA">
          <wp:simplePos x="0" y="0"/>
          <wp:positionH relativeFrom="column">
            <wp:posOffset>4154170</wp:posOffset>
          </wp:positionH>
          <wp:positionV relativeFrom="paragraph">
            <wp:posOffset>-311637</wp:posOffset>
          </wp:positionV>
          <wp:extent cx="697603" cy="345244"/>
          <wp:effectExtent l="0" t="0" r="0" b="0"/>
          <wp:wrapNone/>
          <wp:docPr id="13903328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5007" b="25490"/>
                  <a:stretch>
                    <a:fillRect/>
                  </a:stretch>
                </pic:blipFill>
                <pic:spPr>
                  <a:xfrm>
                    <a:off x="0" y="0"/>
                    <a:ext cx="697603" cy="345244"/>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A2A5E59" wp14:editId="46727CFC">
          <wp:simplePos x="0" y="0"/>
          <wp:positionH relativeFrom="column">
            <wp:posOffset>-161924</wp:posOffset>
          </wp:positionH>
          <wp:positionV relativeFrom="paragraph">
            <wp:posOffset>141393</wp:posOffset>
          </wp:positionV>
          <wp:extent cx="1950085" cy="535940"/>
          <wp:effectExtent l="0" t="0" r="0" b="0"/>
          <wp:wrapNone/>
          <wp:docPr id="13903328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t="33597" b="38886"/>
                  <a:stretch>
                    <a:fillRect/>
                  </a:stretch>
                </pic:blipFill>
                <pic:spPr>
                  <a:xfrm>
                    <a:off x="0" y="0"/>
                    <a:ext cx="1950085" cy="535940"/>
                  </a:xfrm>
                  <a:prstGeom prst="rect">
                    <a:avLst/>
                  </a:prstGeom>
                  <a:ln/>
                </pic:spPr>
              </pic:pic>
            </a:graphicData>
          </a:graphic>
        </wp:anchor>
      </w:drawing>
    </w:r>
  </w:p>
  <w:tbl>
    <w:tblPr>
      <w:tblStyle w:val="a1"/>
      <w:tblW w:w="6940" w:type="dxa"/>
      <w:tblBorders>
        <w:top w:val="nil"/>
        <w:left w:val="nil"/>
        <w:bottom w:val="nil"/>
        <w:right w:val="nil"/>
        <w:insideH w:val="nil"/>
        <w:insideV w:val="nil"/>
      </w:tblBorders>
      <w:tblLayout w:type="fixed"/>
      <w:tblLook w:val="0400" w:firstRow="0" w:lastRow="0" w:firstColumn="0" w:lastColumn="0" w:noHBand="0" w:noVBand="1"/>
    </w:tblPr>
    <w:tblGrid>
      <w:gridCol w:w="2552"/>
      <w:gridCol w:w="4388"/>
    </w:tblGrid>
    <w:tr w:rsidR="00B80FAF" w14:paraId="11108551" w14:textId="77777777">
      <w:tc>
        <w:tcPr>
          <w:tcW w:w="2552" w:type="dxa"/>
          <w:tcBorders>
            <w:bottom w:val="single" w:sz="12" w:space="0" w:color="000000"/>
          </w:tcBorders>
          <w:vAlign w:val="center"/>
        </w:tcPr>
        <w:p w14:paraId="235790BE" w14:textId="77777777" w:rsidR="00B80FAF" w:rsidRDefault="00B80FAF">
          <w:pPr>
            <w:pBdr>
              <w:top w:val="nil"/>
              <w:left w:val="nil"/>
              <w:bottom w:val="nil"/>
              <w:right w:val="nil"/>
              <w:between w:val="nil"/>
            </w:pBdr>
            <w:tabs>
              <w:tab w:val="center" w:pos="4153"/>
              <w:tab w:val="right" w:pos="8306"/>
            </w:tabs>
            <w:rPr>
              <w:color w:val="000000"/>
            </w:rPr>
          </w:pPr>
        </w:p>
        <w:p w14:paraId="71588FAE" w14:textId="77777777" w:rsidR="00B80FAF" w:rsidRDefault="00B80FAF">
          <w:pPr>
            <w:pBdr>
              <w:top w:val="nil"/>
              <w:left w:val="nil"/>
              <w:bottom w:val="nil"/>
              <w:right w:val="nil"/>
              <w:between w:val="nil"/>
            </w:pBdr>
            <w:tabs>
              <w:tab w:val="center" w:pos="4153"/>
              <w:tab w:val="right" w:pos="8306"/>
            </w:tabs>
            <w:rPr>
              <w:color w:val="000000"/>
            </w:rPr>
          </w:pPr>
        </w:p>
      </w:tc>
      <w:tc>
        <w:tcPr>
          <w:tcW w:w="4389" w:type="dxa"/>
          <w:tcBorders>
            <w:bottom w:val="single" w:sz="12" w:space="0" w:color="000000"/>
          </w:tcBorders>
        </w:tcPr>
        <w:p w14:paraId="6D8CEB10" w14:textId="77777777" w:rsidR="00B80FAF" w:rsidRDefault="00000000">
          <w:pPr>
            <w:pBdr>
              <w:top w:val="nil"/>
              <w:left w:val="nil"/>
              <w:bottom w:val="nil"/>
              <w:right w:val="nil"/>
              <w:between w:val="nil"/>
            </w:pBdr>
            <w:tabs>
              <w:tab w:val="center" w:pos="4153"/>
              <w:tab w:val="right" w:pos="8306"/>
            </w:tabs>
            <w:rPr>
              <w:rFonts w:ascii="Sorts Mill Goudy" w:eastAsia="Sorts Mill Goudy" w:hAnsi="Sorts Mill Goudy" w:cs="Sorts Mill Goudy"/>
              <w:b/>
              <w:color w:val="000000"/>
              <w:sz w:val="18"/>
              <w:szCs w:val="18"/>
            </w:rPr>
          </w:pPr>
          <w:r>
            <w:rPr>
              <w:rFonts w:ascii="Sorts Mill Goudy" w:eastAsia="Sorts Mill Goudy" w:hAnsi="Sorts Mill Goudy" w:cs="Sorts Mill Goudy"/>
              <w:b/>
              <w:color w:val="000000"/>
              <w:sz w:val="18"/>
              <w:szCs w:val="18"/>
            </w:rPr>
            <w:t>Journal of Law and Social Change Review (JLSCR)</w:t>
          </w:r>
        </w:p>
        <w:p w14:paraId="5222B188" w14:textId="77777777" w:rsidR="00B80FAF" w:rsidRDefault="00000000">
          <w:pPr>
            <w:pBdr>
              <w:top w:val="nil"/>
              <w:left w:val="nil"/>
              <w:bottom w:val="single" w:sz="4" w:space="1" w:color="000000"/>
              <w:right w:val="nil"/>
              <w:between w:val="nil"/>
            </w:pBdr>
            <w:tabs>
              <w:tab w:val="center" w:pos="4153"/>
              <w:tab w:val="right" w:pos="8306"/>
            </w:tabs>
            <w:rPr>
              <w:rFonts w:ascii="Sorts Mill Goudy" w:eastAsia="Sorts Mill Goudy" w:hAnsi="Sorts Mill Goudy" w:cs="Sorts Mill Goudy"/>
              <w:b/>
              <w:color w:val="000000"/>
              <w:sz w:val="18"/>
              <w:szCs w:val="18"/>
            </w:rPr>
          </w:pPr>
          <w:r>
            <w:rPr>
              <w:rFonts w:ascii="Sorts Mill Goudy" w:eastAsia="Sorts Mill Goudy" w:hAnsi="Sorts Mill Goudy" w:cs="Sorts Mill Goudy"/>
              <w:b/>
              <w:color w:val="000000"/>
              <w:sz w:val="18"/>
              <w:szCs w:val="18"/>
            </w:rPr>
            <w:t>Vol. x, no. x (xxxx), pp. x-x</w:t>
          </w:r>
          <w:r>
            <w:rPr>
              <w:rFonts w:ascii="Sorts Mill Goudy" w:eastAsia="Sorts Mill Goudy" w:hAnsi="Sorts Mill Goudy" w:cs="Sorts Mill Goudy"/>
              <w:b/>
              <w:sz w:val="18"/>
              <w:szCs w:val="18"/>
            </w:rPr>
            <w:t>x</w:t>
          </w:r>
        </w:p>
        <w:p w14:paraId="18019DD4" w14:textId="77777777" w:rsidR="00B80FAF" w:rsidRDefault="00000000">
          <w:pPr>
            <w:pBdr>
              <w:top w:val="nil"/>
              <w:left w:val="nil"/>
              <w:bottom w:val="single" w:sz="4" w:space="1" w:color="000000"/>
              <w:right w:val="nil"/>
              <w:between w:val="nil"/>
            </w:pBdr>
            <w:tabs>
              <w:tab w:val="center" w:pos="4153"/>
              <w:tab w:val="right" w:pos="8306"/>
            </w:tabs>
            <w:rPr>
              <w:rFonts w:ascii="Sorts Mill Goudy" w:eastAsia="Sorts Mill Goudy" w:hAnsi="Sorts Mill Goudy" w:cs="Sorts Mill Goudy"/>
              <w:b/>
              <w:color w:val="000000"/>
              <w:sz w:val="20"/>
              <w:szCs w:val="20"/>
            </w:rPr>
          </w:pPr>
          <w:r>
            <w:rPr>
              <w:rFonts w:ascii="Sorts Mill Goudy" w:eastAsia="Sorts Mill Goudy" w:hAnsi="Sorts Mill Goudy" w:cs="Sorts Mill Goudy"/>
              <w:b/>
              <w:color w:val="000000"/>
              <w:sz w:val="18"/>
              <w:szCs w:val="18"/>
            </w:rPr>
            <w:t>Available online https://jurnal.sshpublikasi.com</w:t>
          </w:r>
        </w:p>
      </w:tc>
    </w:tr>
  </w:tbl>
  <w:p w14:paraId="41D729DA" w14:textId="77777777" w:rsidR="00B80FAF" w:rsidRDefault="00B80FAF">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42725"/>
    <w:multiLevelType w:val="multilevel"/>
    <w:tmpl w:val="E134026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60206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FAF"/>
    <w:rsid w:val="00114960"/>
    <w:rsid w:val="00437784"/>
    <w:rsid w:val="004B07B5"/>
    <w:rsid w:val="004D690F"/>
    <w:rsid w:val="004E2E35"/>
    <w:rsid w:val="005F4D81"/>
    <w:rsid w:val="0065002D"/>
    <w:rsid w:val="00760126"/>
    <w:rsid w:val="009003B1"/>
    <w:rsid w:val="00B80FAF"/>
    <w:rsid w:val="00C0056B"/>
    <w:rsid w:val="00CF650C"/>
    <w:rsid w:val="00DF55C0"/>
    <w:rsid w:val="00FA0C82"/>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2F11"/>
  <w15:docId w15:val="{A4A54A38-6AD8-4240-92FD-67DEE72DC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semiHidden/>
    <w:unhideWhenUsed/>
    <w:rsid w:val="00AD49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4915"/>
    <w:rPr>
      <w:sz w:val="20"/>
      <w:szCs w:val="20"/>
    </w:rPr>
  </w:style>
  <w:style w:type="character" w:styleId="FootnoteReference">
    <w:name w:val="footnote reference"/>
    <w:basedOn w:val="DefaultParagraphFont"/>
    <w:uiPriority w:val="99"/>
    <w:semiHidden/>
    <w:unhideWhenUsed/>
    <w:rsid w:val="00AD4915"/>
    <w:rPr>
      <w:vertAlign w:val="superscript"/>
    </w:rPr>
  </w:style>
  <w:style w:type="paragraph" w:styleId="ListParagraph">
    <w:name w:val="List Paragraph"/>
    <w:basedOn w:val="Normal"/>
    <w:uiPriority w:val="34"/>
    <w:qFormat/>
    <w:rsid w:val="00865702"/>
    <w:pPr>
      <w:spacing w:after="200" w:line="276" w:lineRule="auto"/>
      <w:ind w:left="720"/>
      <w:contextualSpacing/>
    </w:pPr>
    <w:rPr>
      <w:rFonts w:ascii="Jamia2014" w:hAnsi="Jamia2014" w:cs="Naskhi"/>
      <w:sz w:val="24"/>
      <w:szCs w:val="24"/>
    </w:rPr>
  </w:style>
  <w:style w:type="paragraph" w:styleId="Header">
    <w:name w:val="header"/>
    <w:basedOn w:val="Normal"/>
    <w:link w:val="HeaderChar"/>
    <w:uiPriority w:val="99"/>
    <w:unhideWhenUsed/>
    <w:rsid w:val="00CB54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CB5489"/>
  </w:style>
  <w:style w:type="paragraph" w:styleId="Footer">
    <w:name w:val="footer"/>
    <w:basedOn w:val="Normal"/>
    <w:link w:val="FooterChar"/>
    <w:uiPriority w:val="99"/>
    <w:unhideWhenUsed/>
    <w:rsid w:val="00CB54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CB548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styleId="TableGrid">
    <w:name w:val="Table Grid"/>
    <w:basedOn w:val="TableNormal"/>
    <w:uiPriority w:val="39"/>
    <w:rsid w:val="00383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0">
    <w:basedOn w:val="TableNormal"/>
    <w:pPr>
      <w:spacing w:after="0" w:line="240" w:lineRule="auto"/>
    </w:pPr>
    <w:tblPr>
      <w:tblStyleRowBandSize w:val="1"/>
      <w:tblStyleColBandSize w:val="1"/>
    </w:tblPr>
  </w:style>
  <w:style w:type="paragraph" w:styleId="NormalWeb">
    <w:name w:val="Normal (Web)"/>
    <w:basedOn w:val="Normal"/>
    <w:uiPriority w:val="99"/>
    <w:unhideWhenUsed/>
    <w:rsid w:val="003B1F26"/>
    <w:pPr>
      <w:spacing w:before="100" w:beforeAutospacing="1" w:after="100" w:afterAutospacing="1" w:line="240" w:lineRule="auto"/>
    </w:pPr>
    <w:rPr>
      <w:rFonts w:ascii="Times New Roman" w:eastAsia="Times New Roman" w:hAnsi="Times New Roman" w:cs="Times New Roman"/>
      <w:sz w:val="24"/>
      <w:szCs w:val="24"/>
      <w:lang w:val="en-ID"/>
    </w:rPr>
  </w:style>
  <w:style w:type="table" w:customStyle="1" w:styleId="a1">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4B07B5"/>
    <w:rPr>
      <w:color w:val="0563C1" w:themeColor="hyperlink"/>
      <w:u w:val="single"/>
    </w:rPr>
  </w:style>
  <w:style w:type="character" w:styleId="UnresolvedMention">
    <w:name w:val="Unresolved Mention"/>
    <w:basedOn w:val="DefaultParagraphFont"/>
    <w:uiPriority w:val="99"/>
    <w:semiHidden/>
    <w:unhideWhenUsed/>
    <w:rsid w:val="004B0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7r8+9ZmQF7SoV4+hhbnKmSE/xQ==">CgMxLjAyCGguZ2pkZ3hzOAByITF5Q2pqbWNHRHZEYmVzZUFzQms5Q0J0ZFNlblpEbWZkVA==</go:docsCustomData>
</go:gDocsCustomXmlDataStorage>
</file>

<file path=customXml/itemProps1.xml><?xml version="1.0" encoding="utf-8"?>
<ds:datastoreItem xmlns:ds="http://schemas.openxmlformats.org/officeDocument/2006/customXml" ds:itemID="{DA3F8CDB-3471-4913-9306-CAAE69E1A4F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9</Pages>
  <Words>2167</Words>
  <Characters>12356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keratonkebo02@gmail.com</dc:creator>
  <cp:lastModifiedBy>dedhy irawan</cp:lastModifiedBy>
  <cp:revision>3</cp:revision>
  <dcterms:created xsi:type="dcterms:W3CDTF">2025-05-24T07:01:00Z</dcterms:created>
  <dcterms:modified xsi:type="dcterms:W3CDTF">2026-02-10T01:43:00Z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525e5-f3da-4501-8f1e-526b6769fc56_Enabled">
    <vt:lpwstr>true</vt:lpwstr>
  </property>
  <property fmtid="{D5CDD505-2E9C-101B-9397-08002B2CF9AE}" pid="3" name="MSIP_Label_38b525e5-f3da-4501-8f1e-526b6769fc56_SetDate">
    <vt:lpwstr>2025-05-05T06:00:18Z</vt:lpwstr>
  </property>
  <property fmtid="{D5CDD505-2E9C-101B-9397-08002B2CF9AE}" pid="4" name="MSIP_Label_38b525e5-f3da-4501-8f1e-526b6769fc56_Method">
    <vt:lpwstr>Standard</vt:lpwstr>
  </property>
  <property fmtid="{D5CDD505-2E9C-101B-9397-08002B2CF9AE}" pid="5" name="MSIP_Label_38b525e5-f3da-4501-8f1e-526b6769fc56_Name">
    <vt:lpwstr>defa4170-0d19-0005-0004-bc88714345d2</vt:lpwstr>
  </property>
  <property fmtid="{D5CDD505-2E9C-101B-9397-08002B2CF9AE}" pid="6" name="MSIP_Label_38b525e5-f3da-4501-8f1e-526b6769fc56_SiteId">
    <vt:lpwstr>db6e1183-4c65-405c-82ce-7cd53fa6e9dc</vt:lpwstr>
  </property>
  <property fmtid="{D5CDD505-2E9C-101B-9397-08002B2CF9AE}" pid="7" name="MSIP_Label_38b525e5-f3da-4501-8f1e-526b6769fc56_ActionId">
    <vt:lpwstr>cc6c602c-6ff9-4c67-ba26-6b2885e67cdc</vt:lpwstr>
  </property>
  <property fmtid="{D5CDD505-2E9C-101B-9397-08002B2CF9AE}" pid="8" name="MSIP_Label_38b525e5-f3da-4501-8f1e-526b6769fc56_ContentBits">
    <vt:lpwstr>0</vt:lpwstr>
  </property>
  <property fmtid="{D5CDD505-2E9C-101B-9397-08002B2CF9AE}" pid="9" name="MSIP_Label_38b525e5-f3da-4501-8f1e-526b6769fc56_Tag">
    <vt:lpwstr>10, 3, 0, 1</vt:lpwstr>
  </property>
  <property fmtid="{D5CDD505-2E9C-101B-9397-08002B2CF9AE}" pid="10" name="GrammarlyDocumentId">
    <vt:lpwstr>50ab2220-3cdc-42dd-8769-426a31b406d3</vt:lpwstr>
  </property>
</Properties>
</file>